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24" w:rsidRPr="00CE6EB6" w:rsidRDefault="006251C2" w:rsidP="006251C2">
      <w:pPr>
        <w:pStyle w:val="Heading2"/>
        <w:spacing w:before="0" w:line="36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val="en-GB"/>
        </w:rPr>
        <w:t xml:space="preserve">Tackling </w:t>
      </w:r>
      <w:r w:rsidR="00E5656A">
        <w:rPr>
          <w:rFonts w:ascii="Times New Roman" w:hAnsi="Times New Roman" w:cs="Times New Roman"/>
          <w:sz w:val="28"/>
          <w:szCs w:val="24"/>
          <w:lang w:val="en-GB"/>
        </w:rPr>
        <w:t>housing</w:t>
      </w:r>
      <w:r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="00443E1F">
        <w:rPr>
          <w:rFonts w:ascii="Times New Roman" w:hAnsi="Times New Roman" w:cs="Times New Roman"/>
          <w:sz w:val="28"/>
          <w:szCs w:val="24"/>
          <w:lang w:val="en-GB"/>
        </w:rPr>
        <w:t xml:space="preserve">shortages </w:t>
      </w:r>
      <w:r w:rsidR="00E5656A">
        <w:rPr>
          <w:rFonts w:ascii="Times New Roman" w:hAnsi="Times New Roman" w:cs="Times New Roman"/>
          <w:sz w:val="28"/>
          <w:szCs w:val="24"/>
          <w:lang w:val="en-GB"/>
        </w:rPr>
        <w:t>or</w:t>
      </w:r>
      <w:r>
        <w:rPr>
          <w:rFonts w:ascii="Times New Roman" w:hAnsi="Times New Roman" w:cs="Times New Roman"/>
          <w:sz w:val="28"/>
          <w:szCs w:val="24"/>
          <w:lang w:val="en-GB"/>
        </w:rPr>
        <w:t xml:space="preserve"> addressing</w:t>
      </w:r>
      <w:r w:rsidR="00E5656A">
        <w:rPr>
          <w:rFonts w:ascii="Times New Roman" w:hAnsi="Times New Roman" w:cs="Times New Roman"/>
          <w:sz w:val="28"/>
          <w:szCs w:val="24"/>
          <w:lang w:val="en-GB"/>
        </w:rPr>
        <w:t xml:space="preserve"> sustainable</w:t>
      </w:r>
      <w:r w:rsidR="00443E1F">
        <w:rPr>
          <w:rFonts w:ascii="Times New Roman" w:hAnsi="Times New Roman" w:cs="Times New Roman"/>
          <w:sz w:val="28"/>
          <w:szCs w:val="24"/>
          <w:lang w:val="en-GB"/>
        </w:rPr>
        <w:t xml:space="preserve"> urban</w:t>
      </w:r>
      <w:r w:rsidR="002F120C">
        <w:rPr>
          <w:rFonts w:ascii="Times New Roman" w:hAnsi="Times New Roman" w:cs="Times New Roman"/>
          <w:sz w:val="28"/>
          <w:szCs w:val="24"/>
          <w:lang w:val="en-GB"/>
        </w:rPr>
        <w:t xml:space="preserve"> land use? A</w:t>
      </w:r>
      <w:r w:rsidR="00E5656A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GB"/>
        </w:rPr>
        <w:t>political economy approach of urban sprawl in</w:t>
      </w:r>
      <w:r w:rsidR="00D039BA">
        <w:rPr>
          <w:rFonts w:ascii="Times New Roman" w:hAnsi="Times New Roman" w:cs="Times New Roman"/>
          <w:sz w:val="28"/>
          <w:szCs w:val="24"/>
          <w:lang w:val="en-GB"/>
        </w:rPr>
        <w:t xml:space="preserve"> public</w:t>
      </w:r>
      <w:r w:rsidR="00E5656A">
        <w:rPr>
          <w:rFonts w:ascii="Times New Roman" w:hAnsi="Times New Roman" w:cs="Times New Roman"/>
          <w:sz w:val="28"/>
          <w:szCs w:val="24"/>
          <w:lang w:val="en-GB"/>
        </w:rPr>
        <w:t xml:space="preserve"> housing </w:t>
      </w:r>
      <w:r w:rsidR="00D106D5">
        <w:rPr>
          <w:rFonts w:ascii="Times New Roman" w:hAnsi="Times New Roman" w:cs="Times New Roman"/>
          <w:sz w:val="28"/>
          <w:szCs w:val="24"/>
          <w:lang w:val="en-GB"/>
        </w:rPr>
        <w:t>projects</w:t>
      </w:r>
      <w:r w:rsidR="00E5656A">
        <w:rPr>
          <w:rFonts w:ascii="Times New Roman" w:hAnsi="Times New Roman" w:cs="Times New Roman"/>
          <w:sz w:val="28"/>
          <w:szCs w:val="24"/>
          <w:lang w:val="en-GB"/>
        </w:rPr>
        <w:t xml:space="preserve"> in Surinam</w:t>
      </w:r>
      <w:r w:rsidR="006A336A">
        <w:rPr>
          <w:rFonts w:ascii="Times New Roman" w:hAnsi="Times New Roman" w:cs="Times New Roman"/>
          <w:sz w:val="28"/>
          <w:szCs w:val="24"/>
          <w:lang w:val="en-GB"/>
        </w:rPr>
        <w:t>e</w:t>
      </w:r>
    </w:p>
    <w:p w:rsidR="00E34B61" w:rsidRPr="00CE6EB6" w:rsidRDefault="00E34B61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4B61" w:rsidRPr="00CE6EB6" w:rsidRDefault="00D039BA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Author: Sigrid Heirman, </w:t>
      </w:r>
      <w:r w:rsidR="00E34B61" w:rsidRPr="00CE6EB6">
        <w:rPr>
          <w:rFonts w:ascii="Times New Roman" w:hAnsi="Times New Roman" w:cs="Times New Roman"/>
          <w:sz w:val="24"/>
          <w:szCs w:val="24"/>
          <w:lang w:val="en-GB"/>
        </w:rPr>
        <w:t>Tom Coppens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Nadia Molenaers </w:t>
      </w:r>
    </w:p>
    <w:p w:rsidR="00182306" w:rsidRPr="00B04E57" w:rsidRDefault="00182306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306" w:rsidRDefault="00182306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Urban sprawl</w:t>
      </w:r>
      <w:r w:rsidR="00BD71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7A5A">
        <w:rPr>
          <w:rFonts w:ascii="Times New Roman" w:hAnsi="Times New Roman" w:cs="Times New Roman"/>
          <w:sz w:val="24"/>
          <w:szCs w:val="24"/>
          <w:lang w:val="en-US"/>
        </w:rPr>
        <w:t>often associated with</w:t>
      </w:r>
      <w:r w:rsidR="00BD71DB">
        <w:rPr>
          <w:rFonts w:ascii="Times New Roman" w:hAnsi="Times New Roman" w:cs="Times New Roman"/>
          <w:sz w:val="24"/>
          <w:szCs w:val="24"/>
          <w:lang w:val="en-US"/>
        </w:rPr>
        <w:t xml:space="preserve"> low density, fragmented or unplanned urban development, is generally </w:t>
      </w:r>
      <w:r w:rsidR="002E660C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827A5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>undesirable</w:t>
      </w:r>
      <w:r w:rsidR="00827A5A">
        <w:rPr>
          <w:rFonts w:ascii="Times New Roman" w:hAnsi="Times New Roman" w:cs="Times New Roman"/>
          <w:sz w:val="24"/>
          <w:szCs w:val="24"/>
          <w:lang w:val="en-US"/>
        </w:rPr>
        <w:t xml:space="preserve"> form of urbanization</w:t>
      </w:r>
      <w:r w:rsidR="00BD71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6679">
        <w:rPr>
          <w:rFonts w:ascii="Times New Roman" w:hAnsi="Times New Roman" w:cs="Times New Roman"/>
          <w:sz w:val="24"/>
          <w:szCs w:val="24"/>
          <w:lang w:val="en-US"/>
        </w:rPr>
        <w:t xml:space="preserve">Certainly in a developing context such as </w:t>
      </w:r>
      <w:r>
        <w:rPr>
          <w:rFonts w:ascii="Times New Roman" w:hAnsi="Times New Roman" w:cs="Times New Roman"/>
          <w:sz w:val="24"/>
          <w:szCs w:val="24"/>
          <w:lang w:val="en-US"/>
        </w:rPr>
        <w:t>the Caribbean</w:t>
      </w:r>
      <w:r w:rsidR="00C46CA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taking problematic proportions</w:t>
      </w:r>
      <w:r w:rsidR="004237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6679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077475">
        <w:rPr>
          <w:rFonts w:ascii="Times New Roman" w:hAnsi="Times New Roman" w:cs="Times New Roman"/>
          <w:sz w:val="24"/>
          <w:szCs w:val="24"/>
          <w:lang w:val="en-US"/>
        </w:rPr>
        <w:t>United Nations t</w:t>
      </w:r>
      <w:r w:rsidR="007B767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36679">
        <w:rPr>
          <w:rFonts w:ascii="Times New Roman" w:hAnsi="Times New Roman" w:cs="Times New Roman"/>
          <w:sz w:val="24"/>
          <w:szCs w:val="24"/>
          <w:lang w:val="en-US"/>
        </w:rPr>
        <w:t xml:space="preserve"> Caribbean</w:t>
      </w:r>
      <w:r w:rsidR="007B7673">
        <w:rPr>
          <w:rFonts w:ascii="Times New Roman" w:hAnsi="Times New Roman" w:cs="Times New Roman"/>
          <w:sz w:val="24"/>
          <w:szCs w:val="24"/>
          <w:lang w:val="en-US"/>
        </w:rPr>
        <w:t xml:space="preserve"> region</w:t>
      </w:r>
      <w:r w:rsidR="004237BB">
        <w:rPr>
          <w:rFonts w:ascii="Times New Roman" w:hAnsi="Times New Roman" w:cs="Times New Roman"/>
          <w:sz w:val="24"/>
          <w:szCs w:val="24"/>
          <w:lang w:val="en-US"/>
        </w:rPr>
        <w:t xml:space="preserve"> is one of the mos</w:t>
      </w:r>
      <w:r w:rsidR="00CD380C">
        <w:rPr>
          <w:rFonts w:ascii="Times New Roman" w:hAnsi="Times New Roman" w:cs="Times New Roman"/>
          <w:sz w:val="24"/>
          <w:szCs w:val="24"/>
          <w:lang w:val="en-US"/>
        </w:rPr>
        <w:t>t urbanized areas in the world. O</w:t>
      </w:r>
      <w:r w:rsidR="004237BB">
        <w:rPr>
          <w:rFonts w:ascii="Times New Roman" w:hAnsi="Times New Roman" w:cs="Times New Roman"/>
          <w:sz w:val="24"/>
          <w:szCs w:val="24"/>
          <w:lang w:val="en-US"/>
        </w:rPr>
        <w:t xml:space="preserve">ver 75% of all </w:t>
      </w:r>
      <w:r w:rsidR="00CD380C">
        <w:rPr>
          <w:rFonts w:ascii="Times New Roman" w:hAnsi="Times New Roman" w:cs="Times New Roman"/>
          <w:sz w:val="24"/>
          <w:szCs w:val="24"/>
          <w:lang w:val="en-US"/>
        </w:rPr>
        <w:t>Caribbean’s</w:t>
      </w:r>
      <w:r w:rsidR="004237BB">
        <w:rPr>
          <w:rFonts w:ascii="Times New Roman" w:hAnsi="Times New Roman" w:cs="Times New Roman"/>
          <w:sz w:val="24"/>
          <w:szCs w:val="24"/>
          <w:lang w:val="en-US"/>
        </w:rPr>
        <w:t xml:space="preserve"> lives in urban </w:t>
      </w:r>
      <w:r w:rsidR="00CD380C">
        <w:rPr>
          <w:rFonts w:ascii="Times New Roman" w:hAnsi="Times New Roman" w:cs="Times New Roman"/>
          <w:sz w:val="24"/>
          <w:szCs w:val="24"/>
          <w:lang w:val="en-US"/>
        </w:rPr>
        <w:t>agglomerations</w:t>
      </w:r>
      <w:r w:rsidR="00827A5A">
        <w:rPr>
          <w:rFonts w:ascii="Times New Roman" w:hAnsi="Times New Roman" w:cs="Times New Roman"/>
          <w:sz w:val="24"/>
          <w:szCs w:val="24"/>
          <w:lang w:val="en-US"/>
        </w:rPr>
        <w:t>, often in large, spread-out and unplanned metropolitan agglomerations</w:t>
      </w:r>
      <w:r w:rsidR="00CD38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68617527"/>
          <w:citation/>
        </w:sdtPr>
        <w:sdtEndPr/>
        <w:sdtContent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8F7023">
            <w:rPr>
              <w:rFonts w:ascii="Times New Roman" w:hAnsi="Times New Roman" w:cs="Times New Roman"/>
              <w:sz w:val="24"/>
              <w:szCs w:val="24"/>
            </w:rPr>
            <w:instrText xml:space="preserve">CITATION UNH12 \l 2067 </w:instrText>
          </w:r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8F7023" w:rsidRPr="008F702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(UN Habitat, 2012)</w:t>
          </w:r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402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 xml:space="preserve">As a result, problems arise in protecting natural habitats, woodlands or arable land and </w:t>
      </w:r>
      <w:r w:rsidR="00C00771">
        <w:rPr>
          <w:rFonts w:ascii="Times New Roman" w:hAnsi="Times New Roman" w:cs="Times New Roman"/>
          <w:sz w:val="24"/>
          <w:szCs w:val="24"/>
          <w:lang w:val="en-US"/>
        </w:rPr>
        <w:t>Caribbean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 xml:space="preserve"> cities are becoming increasingly dysfunctional in terms of urban mobility, and the provision of urban amenities.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806589171"/>
          <w:citation/>
        </w:sdtPr>
        <w:sdtEndPr/>
        <w:sdtContent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4022C8" w:rsidRPr="004022C8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Hei13 \l 2067 </w:instrText>
          </w:r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8F7023" w:rsidRPr="008F702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(Heirman &amp; Coppens, 2013)</w:t>
          </w:r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402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16605388"/>
          <w:citation/>
        </w:sdtPr>
        <w:sdtEndPr/>
        <w:sdtContent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4022C8" w:rsidRPr="00655A4A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Ver11 \l 2067 </w:instrText>
          </w:r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8F7023" w:rsidRPr="008F702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(Verrest, et al., 2011)</w:t>
          </w:r>
          <w:r w:rsidR="004022C8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</w:p>
    <w:p w:rsidR="00182306" w:rsidRPr="00953012" w:rsidRDefault="00182306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306" w:rsidRDefault="00C36679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donor agencies, national and regional </w:t>
      </w:r>
      <w:r w:rsidR="00726BE1">
        <w:rPr>
          <w:rFonts w:ascii="Times New Roman" w:hAnsi="Times New Roman" w:cs="Times New Roman"/>
          <w:sz w:val="24"/>
          <w:szCs w:val="24"/>
          <w:lang w:val="en-US"/>
        </w:rPr>
        <w:t>governments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Caribbean </w:t>
      </w:r>
      <w:r w:rsidR="00655A4A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>
        <w:rPr>
          <w:rFonts w:ascii="Times New Roman" w:hAnsi="Times New Roman" w:cs="Times New Roman"/>
          <w:sz w:val="24"/>
          <w:szCs w:val="24"/>
          <w:lang w:val="en-US"/>
        </w:rPr>
        <w:t>have strong intentions to set up planning frameworks to guide urban development</w:t>
      </w:r>
      <w:r w:rsidR="00726B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5A4A">
        <w:rPr>
          <w:rFonts w:ascii="Times New Roman" w:hAnsi="Times New Roman" w:cs="Times New Roman"/>
          <w:sz w:val="24"/>
          <w:szCs w:val="24"/>
          <w:lang w:val="en-US"/>
        </w:rPr>
        <w:t>frequently</w:t>
      </w:r>
      <w:r w:rsidR="00726BE1">
        <w:rPr>
          <w:rFonts w:ascii="Times New Roman" w:hAnsi="Times New Roman" w:cs="Times New Roman"/>
          <w:sz w:val="24"/>
          <w:szCs w:val="24"/>
          <w:lang w:val="en-US"/>
        </w:rPr>
        <w:t xml:space="preserve"> borrowing concepts from the developed countries</w:t>
      </w:r>
      <w:r>
        <w:rPr>
          <w:rFonts w:ascii="Times New Roman" w:hAnsi="Times New Roman" w:cs="Times New Roman"/>
          <w:sz w:val="24"/>
          <w:szCs w:val="24"/>
          <w:lang w:val="en-US"/>
        </w:rPr>
        <w:t>. Western u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>rban planning s</w:t>
      </w:r>
      <w:r w:rsidR="00827A5A">
        <w:rPr>
          <w:rFonts w:ascii="Times New Roman" w:hAnsi="Times New Roman" w:cs="Times New Roman"/>
          <w:sz w:val="24"/>
          <w:szCs w:val="24"/>
          <w:lang w:val="en-US"/>
        </w:rPr>
        <w:t>trategies t</w:t>
      </w:r>
      <w:r>
        <w:rPr>
          <w:rFonts w:ascii="Times New Roman" w:hAnsi="Times New Roman" w:cs="Times New Roman"/>
          <w:sz w:val="24"/>
          <w:szCs w:val="24"/>
          <w:lang w:val="en-US"/>
        </w:rPr>
        <w:t>o combat sprawl however show a rather disappointing</w:t>
      </w:r>
      <w:r w:rsidR="00726BE1">
        <w:rPr>
          <w:rFonts w:ascii="Times New Roman" w:hAnsi="Times New Roman" w:cs="Times New Roman"/>
          <w:sz w:val="24"/>
          <w:szCs w:val="24"/>
          <w:lang w:val="en-US"/>
        </w:rPr>
        <w:t xml:space="preserve"> success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60947281"/>
          <w:citation/>
        </w:sdtPr>
        <w:sdtEndPr/>
        <w:sdtContent>
          <w:r w:rsidR="000A21EF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0A21EF" w:rsidRPr="000A21EF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Phe12 \l 2067 </w:instrText>
          </w:r>
          <w:r w:rsidR="000A21EF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8F7023" w:rsidRPr="008F702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(Phelps, 2012)</w:t>
          </w:r>
          <w:r w:rsidR="000A21EF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7B69E7">
        <w:rPr>
          <w:rFonts w:ascii="Times New Roman" w:hAnsi="Times New Roman" w:cs="Times New Roman"/>
          <w:sz w:val="24"/>
          <w:szCs w:val="24"/>
          <w:lang w:val="en-US"/>
        </w:rPr>
        <w:t xml:space="preserve">. Part of the failure of planning relates to the fact that discussions and research on sprawl have been far too concerned with </w:t>
      </w:r>
      <w:r w:rsidR="00C00771">
        <w:rPr>
          <w:rFonts w:ascii="Times New Roman" w:hAnsi="Times New Roman" w:cs="Times New Roman"/>
          <w:sz w:val="24"/>
          <w:szCs w:val="24"/>
          <w:lang w:val="en-US"/>
        </w:rPr>
        <w:t xml:space="preserve">urban </w:t>
      </w:r>
      <w:r w:rsidR="007B69E7" w:rsidRPr="000A21EF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C0077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771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FE085A">
        <w:rPr>
          <w:rFonts w:ascii="Times New Roman" w:hAnsi="Times New Roman" w:cs="Times New Roman"/>
          <w:sz w:val="24"/>
          <w:szCs w:val="24"/>
          <w:lang w:val="en-US"/>
        </w:rPr>
        <w:t>generic</w:t>
      </w:r>
      <w:r w:rsidR="00C00771">
        <w:rPr>
          <w:rFonts w:ascii="Times New Roman" w:hAnsi="Times New Roman" w:cs="Times New Roman"/>
          <w:sz w:val="24"/>
          <w:szCs w:val="24"/>
          <w:lang w:val="en-US"/>
        </w:rPr>
        <w:t xml:space="preserve"> causes and consequences, 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 xml:space="preserve">at the expense of an understanding of the processes producing urban form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473674611"/>
          <w:citation/>
        </w:sdtPr>
        <w:sdtEndPr/>
        <w:sdtContent>
          <w:r w:rsidR="005839A3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5839A3" w:rsidRPr="005839A3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Neu05 \l 2067 </w:instrText>
          </w:r>
          <w:r w:rsidR="005839A3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8F7023" w:rsidRPr="008F702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(Neuman, 2005)</w:t>
          </w:r>
          <w:r w:rsidR="005839A3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7B69E7">
        <w:rPr>
          <w:rFonts w:ascii="Times New Roman" w:hAnsi="Times New Roman" w:cs="Times New Roman"/>
          <w:sz w:val="24"/>
          <w:szCs w:val="24"/>
          <w:lang w:val="en-US"/>
        </w:rPr>
        <w:t>. The prime focus on urban form in planning literature gave rise to typical planning concepts such as t</w:t>
      </w:r>
      <w:r w:rsidR="00CD380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D03E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380C">
        <w:rPr>
          <w:rFonts w:ascii="Times New Roman" w:hAnsi="Times New Roman" w:cs="Times New Roman"/>
          <w:sz w:val="24"/>
          <w:szCs w:val="24"/>
          <w:lang w:val="en-US"/>
        </w:rPr>
        <w:t>ompact city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DD03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20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D380C">
        <w:rPr>
          <w:rFonts w:ascii="Times New Roman" w:hAnsi="Times New Roman" w:cs="Times New Roman"/>
          <w:sz w:val="24"/>
          <w:szCs w:val="24"/>
          <w:lang w:val="en-US"/>
        </w:rPr>
        <w:t xml:space="preserve">art </w:t>
      </w:r>
      <w:r w:rsidR="00DD03E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380C">
        <w:rPr>
          <w:rFonts w:ascii="Times New Roman" w:hAnsi="Times New Roman" w:cs="Times New Roman"/>
          <w:sz w:val="24"/>
          <w:szCs w:val="24"/>
          <w:lang w:val="en-US"/>
        </w:rPr>
        <w:t xml:space="preserve">rowth 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>and instruments such as zoning and boundary planning</w:t>
      </w:r>
      <w:r w:rsidR="006A02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6D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7B69E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C00771">
        <w:rPr>
          <w:rFonts w:ascii="Times New Roman" w:hAnsi="Times New Roman" w:cs="Times New Roman"/>
          <w:sz w:val="24"/>
          <w:szCs w:val="24"/>
          <w:lang w:val="en-US"/>
        </w:rPr>
        <w:t xml:space="preserve">rather technocratic approaches. </w:t>
      </w:r>
      <w:r w:rsidR="00726BE1">
        <w:rPr>
          <w:rFonts w:ascii="Times New Roman" w:hAnsi="Times New Roman" w:cs="Times New Roman"/>
          <w:sz w:val="24"/>
          <w:szCs w:val="24"/>
          <w:lang w:val="en-US"/>
        </w:rPr>
        <w:t xml:space="preserve">Moreover, sprawl is a multifaceted phenomenon that has numerous empirical manifestations and </w:t>
      </w:r>
      <w:r w:rsidR="00D106D5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26BE1">
        <w:rPr>
          <w:rFonts w:ascii="Times New Roman" w:hAnsi="Times New Roman" w:cs="Times New Roman"/>
          <w:sz w:val="24"/>
          <w:szCs w:val="24"/>
          <w:lang w:val="en-US"/>
        </w:rPr>
        <w:t xml:space="preserve"> different causes leading to different consequences in different national and regional settings. </w:t>
      </w:r>
    </w:p>
    <w:p w:rsidR="00182306" w:rsidRPr="007B7673" w:rsidRDefault="00182306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692B" w:rsidRDefault="002E660C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paper we argue</w:t>
      </w:r>
      <w:r w:rsidR="00182306" w:rsidRPr="00927CC3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D106D5">
        <w:rPr>
          <w:rFonts w:ascii="Times New Roman" w:hAnsi="Times New Roman" w:cs="Times New Roman"/>
          <w:sz w:val="24"/>
          <w:szCs w:val="24"/>
          <w:lang w:val="en-US"/>
        </w:rPr>
        <w:t>there is a need for</w:t>
      </w:r>
      <w:r w:rsidR="00246107">
        <w:rPr>
          <w:rFonts w:ascii="Times New Roman" w:hAnsi="Times New Roman" w:cs="Times New Roman"/>
          <w:sz w:val="24"/>
          <w:szCs w:val="24"/>
          <w:lang w:val="en-US"/>
        </w:rPr>
        <w:t xml:space="preserve"> more attention </w:t>
      </w:r>
      <w:r w:rsidR="00D106D5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E30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673">
        <w:rPr>
          <w:rFonts w:ascii="Times New Roman" w:hAnsi="Times New Roman" w:cs="Times New Roman"/>
          <w:sz w:val="24"/>
          <w:szCs w:val="24"/>
          <w:lang w:val="en-US"/>
        </w:rPr>
        <w:t xml:space="preserve">context specific </w:t>
      </w:r>
      <w:r w:rsidR="00E3003F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="00182306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7B7673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 w:rsidR="00182306">
        <w:rPr>
          <w:rFonts w:ascii="Times New Roman" w:hAnsi="Times New Roman" w:cs="Times New Roman"/>
          <w:sz w:val="24"/>
          <w:szCs w:val="24"/>
          <w:lang w:val="en-US"/>
        </w:rPr>
        <w:t xml:space="preserve">, the governance dimensions which actually drive </w:t>
      </w:r>
      <w:r w:rsidR="00182306" w:rsidRPr="00927CC3">
        <w:rPr>
          <w:rFonts w:ascii="Times New Roman" w:hAnsi="Times New Roman" w:cs="Times New Roman"/>
          <w:sz w:val="24"/>
          <w:szCs w:val="24"/>
          <w:lang w:val="en-US"/>
        </w:rPr>
        <w:t xml:space="preserve">urban sprawl. </w:t>
      </w:r>
      <w:r w:rsidR="00FE085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F03F1B">
        <w:rPr>
          <w:rFonts w:ascii="Times New Roman" w:hAnsi="Times New Roman" w:cs="Times New Roman"/>
          <w:sz w:val="24"/>
          <w:szCs w:val="24"/>
          <w:lang w:val="en-US"/>
        </w:rPr>
        <w:t xml:space="preserve"> specifically argue that in</w:t>
      </w:r>
      <w:r w:rsidR="00182306">
        <w:rPr>
          <w:rFonts w:ascii="Times New Roman" w:hAnsi="Times New Roman" w:cs="Times New Roman"/>
          <w:sz w:val="24"/>
          <w:szCs w:val="24"/>
          <w:lang w:val="en-US"/>
        </w:rPr>
        <w:t xml:space="preserve"> order to fully understand the dynamics of urban sprawl </w:t>
      </w:r>
      <w:r w:rsidR="00E3003F">
        <w:rPr>
          <w:rFonts w:ascii="Times New Roman" w:hAnsi="Times New Roman" w:cs="Times New Roman"/>
          <w:sz w:val="24"/>
          <w:szCs w:val="24"/>
          <w:lang w:val="en-US"/>
        </w:rPr>
        <w:t xml:space="preserve">there is a need to bring in a political economy </w:t>
      </w:r>
      <w:r w:rsidR="008723FD">
        <w:rPr>
          <w:rFonts w:ascii="Times New Roman" w:hAnsi="Times New Roman" w:cs="Times New Roman"/>
          <w:sz w:val="24"/>
          <w:szCs w:val="24"/>
          <w:lang w:val="en-US"/>
        </w:rPr>
        <w:t xml:space="preserve">(PE) </w:t>
      </w:r>
      <w:r w:rsidR="00E3003F">
        <w:rPr>
          <w:rFonts w:ascii="Times New Roman" w:hAnsi="Times New Roman" w:cs="Times New Roman"/>
          <w:sz w:val="24"/>
          <w:szCs w:val="24"/>
          <w:lang w:val="en-US"/>
        </w:rPr>
        <w:t>perspective which takes into account the variet</w:t>
      </w:r>
      <w:r w:rsidR="007B767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3003F">
        <w:rPr>
          <w:rFonts w:ascii="Times New Roman" w:hAnsi="Times New Roman" w:cs="Times New Roman"/>
          <w:sz w:val="24"/>
          <w:szCs w:val="24"/>
          <w:lang w:val="en-US"/>
        </w:rPr>
        <w:t xml:space="preserve"> of and interaction between involved stakeholders, their </w:t>
      </w:r>
      <w:r w:rsidR="008723FD">
        <w:rPr>
          <w:rFonts w:ascii="Times New Roman" w:hAnsi="Times New Roman" w:cs="Times New Roman"/>
          <w:sz w:val="24"/>
          <w:szCs w:val="24"/>
          <w:lang w:val="en-US"/>
        </w:rPr>
        <w:t>interests</w:t>
      </w:r>
      <w:r w:rsidR="007B767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3003F">
        <w:rPr>
          <w:rFonts w:ascii="Times New Roman" w:hAnsi="Times New Roman" w:cs="Times New Roman"/>
          <w:sz w:val="24"/>
          <w:szCs w:val="24"/>
          <w:lang w:val="en-US"/>
        </w:rPr>
        <w:t xml:space="preserve"> their power position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75408011"/>
          <w:citation/>
        </w:sdtPr>
        <w:sdtEndPr/>
        <w:sdtContent>
          <w:r w:rsidR="005839A3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5839A3" w:rsidRPr="005839A3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Har13 \l 2067 </w:instrText>
          </w:r>
          <w:r w:rsidR="005839A3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8F7023" w:rsidRPr="008F702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(Harris, 2013)</w:t>
          </w:r>
          <w:r w:rsidR="005839A3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E300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6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46956" w:rsidRPr="00CE6EB6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lastRenderedPageBreak/>
        <w:t>Institutional</w:t>
      </w:r>
      <w:r w:rsidR="00146956" w:rsidRPr="00CE6EB6">
        <w:rPr>
          <w:rFonts w:ascii="Times New Roman" w:hAnsi="Times New Roman" w:cs="Times New Roman"/>
          <w:sz w:val="24"/>
          <w:szCs w:val="24"/>
          <w:lang w:val="en-GB"/>
        </w:rPr>
        <w:t xml:space="preserve"> Analysis and Development (IAD) frame 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246107">
        <w:rPr>
          <w:rFonts w:ascii="Times New Roman" w:hAnsi="Times New Roman" w:cs="Times New Roman"/>
          <w:sz w:val="24"/>
          <w:szCs w:val="24"/>
          <w:lang w:val="en-GB"/>
        </w:rPr>
        <w:t xml:space="preserve">here 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t>used as an operational frame of political economy analysis</w:t>
      </w:r>
      <w:r w:rsidR="00583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795401867"/>
          <w:citation/>
        </w:sdtPr>
        <w:sdtEndPr/>
        <w:sdtContent>
          <w:r w:rsidR="005839A3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5839A3" w:rsidRPr="005839A3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Ost11 \l 2067 </w:instrText>
          </w:r>
          <w:r w:rsidR="005839A3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8F7023" w:rsidRPr="008F702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(Ostrom, 2011)</w:t>
          </w:r>
          <w:r w:rsidR="005839A3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end"/>
          </w:r>
        </w:sdtContent>
      </w:sdt>
      <w:r w:rsidR="00146956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F0692B" w:rsidRDefault="00F0692B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003F" w:rsidRPr="00927CC3" w:rsidRDefault="00C00771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e use 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 xml:space="preserve">the new 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>public housing programme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 xml:space="preserve"> (2010 – 2015)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 in Suriname as a prime example of planned public developments in the Caribbean that </w:t>
      </w:r>
      <w:r>
        <w:rPr>
          <w:rFonts w:ascii="Times New Roman" w:hAnsi="Times New Roman" w:cs="Times New Roman"/>
          <w:sz w:val="24"/>
          <w:szCs w:val="24"/>
          <w:lang w:val="en-GB"/>
        </w:rPr>
        <w:t>contribute a further sprawling of the city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800DF">
        <w:rPr>
          <w:rFonts w:ascii="Times New Roman" w:hAnsi="Times New Roman" w:cs="Times New Roman"/>
          <w:sz w:val="24"/>
          <w:szCs w:val="24"/>
          <w:lang w:val="en-GB"/>
        </w:rPr>
        <w:t>In this case we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interviewed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 involved stakeholders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 the decision making</w:t>
      </w:r>
      <w:r w:rsidR="00A3235A">
        <w:rPr>
          <w:rFonts w:ascii="Times New Roman" w:hAnsi="Times New Roman" w:cs="Times New Roman"/>
          <w:sz w:val="24"/>
          <w:szCs w:val="24"/>
          <w:lang w:val="en-GB"/>
        </w:rPr>
        <w:t xml:space="preserve"> process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 of selecting locations for new public housing project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1057B">
        <w:rPr>
          <w:rFonts w:ascii="Times New Roman" w:hAnsi="Times New Roman" w:cs="Times New Roman"/>
          <w:sz w:val="24"/>
          <w:szCs w:val="24"/>
          <w:lang w:val="en-GB"/>
        </w:rPr>
        <w:t xml:space="preserve">, and asked for their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motives, 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interests and incentives </w:t>
      </w:r>
      <w:r>
        <w:rPr>
          <w:rFonts w:ascii="Times New Roman" w:hAnsi="Times New Roman" w:cs="Times New Roman"/>
          <w:sz w:val="24"/>
          <w:szCs w:val="24"/>
          <w:lang w:val="en-GB"/>
        </w:rPr>
        <w:t>to take certain decisions</w:t>
      </w:r>
      <w:r w:rsidR="007B4E2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t>In this qualitative case study analysis we use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 xml:space="preserve"> document analysis</w:t>
      </w:r>
      <w:r w:rsidR="00FE08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146956" w:rsidRPr="00CE6E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t xml:space="preserve">in-depth </w:t>
      </w:r>
      <w:r w:rsidR="00146956" w:rsidRPr="00CE6EB6">
        <w:rPr>
          <w:rFonts w:ascii="Times New Roman" w:hAnsi="Times New Roman" w:cs="Times New Roman"/>
          <w:sz w:val="24"/>
          <w:szCs w:val="24"/>
          <w:lang w:val="en-GB"/>
        </w:rPr>
        <w:t>interviews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t xml:space="preserve"> with the main decision makers and public administration </w:t>
      </w:r>
      <w:r w:rsidR="00146956" w:rsidRPr="00D039BA">
        <w:rPr>
          <w:rFonts w:ascii="Times New Roman" w:hAnsi="Times New Roman" w:cs="Times New Roman"/>
          <w:sz w:val="24"/>
          <w:szCs w:val="24"/>
          <w:lang w:val="en-GB"/>
        </w:rPr>
        <w:t>(N = 26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46956" w:rsidRPr="00CE6E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46956">
        <w:rPr>
          <w:rFonts w:ascii="Times New Roman" w:hAnsi="Times New Roman" w:cs="Times New Roman"/>
          <w:sz w:val="24"/>
          <w:szCs w:val="24"/>
          <w:lang w:val="en-GB"/>
        </w:rPr>
        <w:t>academics, professionals and civil society organisations (N=16)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3003F" w:rsidRDefault="00E3003F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1AD" w:rsidRDefault="000700F9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GIS analysis of </w:t>
      </w:r>
      <w:r w:rsidR="004022C8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6251C2">
        <w:rPr>
          <w:rFonts w:ascii="Times New Roman" w:hAnsi="Times New Roman" w:cs="Times New Roman"/>
          <w:sz w:val="24"/>
          <w:szCs w:val="24"/>
          <w:lang w:val="en-US"/>
        </w:rPr>
        <w:t>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locations,</w:t>
      </w:r>
      <w:r w:rsidR="00625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0DF">
        <w:rPr>
          <w:rFonts w:ascii="Times New Roman" w:hAnsi="Times New Roman" w:cs="Times New Roman"/>
          <w:sz w:val="24"/>
          <w:szCs w:val="24"/>
          <w:lang w:val="en-US"/>
        </w:rPr>
        <w:t>shows that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>Surinamese public housing programme</w:t>
      </w:r>
      <w:r w:rsidR="00FE085A">
        <w:rPr>
          <w:rFonts w:ascii="Times New Roman" w:hAnsi="Times New Roman" w:cs="Times New Roman"/>
          <w:sz w:val="24"/>
          <w:szCs w:val="24"/>
          <w:lang w:val="en-GB"/>
        </w:rPr>
        <w:t xml:space="preserve"> has made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22B0">
        <w:rPr>
          <w:rFonts w:ascii="Times New Roman" w:hAnsi="Times New Roman" w:cs="Times New Roman"/>
          <w:sz w:val="24"/>
          <w:szCs w:val="24"/>
          <w:lang w:val="en-GB"/>
        </w:rPr>
        <w:t>an important trade-off between the demand for affordable housing and the need to preserve natural resources</w:t>
      </w:r>
      <w:r w:rsidR="00C800DF">
        <w:rPr>
          <w:rFonts w:ascii="Times New Roman" w:hAnsi="Times New Roman" w:cs="Times New Roman"/>
          <w:sz w:val="24"/>
          <w:szCs w:val="24"/>
          <w:lang w:val="en-GB"/>
        </w:rPr>
        <w:t>, as a</w:t>
      </w:r>
      <w:r w:rsidR="005006DD">
        <w:rPr>
          <w:rFonts w:ascii="Times New Roman" w:hAnsi="Times New Roman" w:cs="Times New Roman"/>
          <w:sz w:val="24"/>
          <w:szCs w:val="24"/>
          <w:lang w:val="en-GB"/>
        </w:rPr>
        <w:t xml:space="preserve">ll of the new public housing </w:t>
      </w:r>
      <w:r w:rsidR="000B007C" w:rsidRPr="00CE6EB6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596C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B007C" w:rsidRPr="00CE6EB6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927CC3">
        <w:rPr>
          <w:rFonts w:ascii="Times New Roman" w:hAnsi="Times New Roman" w:cs="Times New Roman"/>
          <w:sz w:val="24"/>
          <w:szCs w:val="24"/>
          <w:lang w:val="en-GB"/>
        </w:rPr>
        <w:t>located on prime urban sprawl locations</w:t>
      </w:r>
      <w:r w:rsidR="005006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3012">
        <w:rPr>
          <w:rFonts w:ascii="Times New Roman" w:hAnsi="Times New Roman" w:cs="Times New Roman"/>
          <w:sz w:val="24"/>
          <w:szCs w:val="24"/>
          <w:lang w:val="en-GB"/>
        </w:rPr>
        <w:t xml:space="preserve">The application of the IAD, revealed </w:t>
      </w:r>
      <w:r w:rsidR="00D94A46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B20B1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022C8">
        <w:rPr>
          <w:rFonts w:ascii="Times New Roman" w:hAnsi="Times New Roman" w:cs="Times New Roman"/>
          <w:sz w:val="24"/>
          <w:szCs w:val="24"/>
          <w:lang w:val="en-GB"/>
        </w:rPr>
        <w:t xml:space="preserve"> locations were selected </w:t>
      </w:r>
      <w:r w:rsidR="006F5E4D">
        <w:rPr>
          <w:rFonts w:ascii="Times New Roman" w:hAnsi="Times New Roman" w:cs="Times New Roman"/>
          <w:sz w:val="24"/>
          <w:szCs w:val="24"/>
          <w:lang w:val="en-GB"/>
        </w:rPr>
        <w:t>despite the involvement of well-trained planners, the availability of compact city or green city visions and new governance approaches</w:t>
      </w:r>
      <w:r w:rsidR="00C800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C5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Rather, urban sprawl is caused by uneven power relationships</w:t>
      </w:r>
      <w:r w:rsidR="00B776F5">
        <w:rPr>
          <w:rFonts w:ascii="Times New Roman" w:hAnsi="Times New Roman" w:cs="Times New Roman"/>
          <w:sz w:val="24"/>
          <w:szCs w:val="24"/>
          <w:lang w:val="en-GB"/>
        </w:rPr>
        <w:t xml:space="preserve">, perverse incentives and sticky institutions. 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>Surinamese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politicians have a strong power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 xml:space="preserve"> over 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>the other stakeholders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due to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 xml:space="preserve"> political corrupt incentives such 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clien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>telism and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 xml:space="preserve"> patronage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 xml:space="preserve">. But also due to incentives that weaken the agency of other stakeholders such as a 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 xml:space="preserve">small society, 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>other development and environmental priorities and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 xml:space="preserve"> limited 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 xml:space="preserve">available 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>capacity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 xml:space="preserve"> to form opposition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>In addition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 xml:space="preserve"> other governance, cultural or physical incentives and institutions 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 xml:space="preserve">support the position and interaction among the involved stakeholders. These are for example 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 xml:space="preserve">detached housing ideal, car dependent society, weak planning instruments, slow </w:t>
      </w:r>
      <w:r w:rsidR="00B02DDA">
        <w:rPr>
          <w:rFonts w:ascii="Times New Roman" w:hAnsi="Times New Roman" w:cs="Times New Roman"/>
          <w:sz w:val="24"/>
          <w:szCs w:val="24"/>
          <w:lang w:val="en-GB"/>
        </w:rPr>
        <w:t xml:space="preserve">planning processes </w:t>
      </w:r>
      <w:r w:rsidR="006D6DD6">
        <w:rPr>
          <w:rFonts w:ascii="Times New Roman" w:hAnsi="Times New Roman" w:cs="Times New Roman"/>
          <w:sz w:val="24"/>
          <w:szCs w:val="24"/>
          <w:lang w:val="en-GB"/>
        </w:rPr>
        <w:t xml:space="preserve">and few technically suitable lands.  </w:t>
      </w:r>
    </w:p>
    <w:p w:rsidR="00B776F5" w:rsidRDefault="00B776F5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776F5" w:rsidRDefault="00A3235A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public housing programme in Suriname</w:t>
      </w:r>
      <w:r w:rsidR="00B776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7691">
        <w:rPr>
          <w:rFonts w:ascii="Times New Roman" w:hAnsi="Times New Roman" w:cs="Times New Roman"/>
          <w:sz w:val="24"/>
          <w:szCs w:val="24"/>
          <w:lang w:val="en-GB"/>
        </w:rPr>
        <w:t xml:space="preserve">illustrates </w:t>
      </w:r>
      <w:r w:rsidR="00B776F5">
        <w:rPr>
          <w:rFonts w:ascii="Times New Roman" w:hAnsi="Times New Roman" w:cs="Times New Roman"/>
          <w:sz w:val="24"/>
          <w:szCs w:val="24"/>
          <w:lang w:val="en-GB"/>
        </w:rPr>
        <w:t xml:space="preserve">very well </w:t>
      </w:r>
      <w:r w:rsidR="00487691">
        <w:rPr>
          <w:rFonts w:ascii="Times New Roman" w:hAnsi="Times New Roman" w:cs="Times New Roman"/>
          <w:sz w:val="24"/>
          <w:szCs w:val="24"/>
          <w:lang w:val="en-GB"/>
        </w:rPr>
        <w:t>the context specific and multifaceted</w:t>
      </w:r>
      <w:r w:rsidR="00B776F5">
        <w:rPr>
          <w:rFonts w:ascii="Times New Roman" w:hAnsi="Times New Roman" w:cs="Times New Roman"/>
          <w:sz w:val="24"/>
          <w:szCs w:val="24"/>
          <w:lang w:val="en-GB"/>
        </w:rPr>
        <w:t xml:space="preserve"> character of urban sprawl</w:t>
      </w:r>
      <w:r w:rsidR="006A02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776F5">
        <w:rPr>
          <w:rFonts w:ascii="Times New Roman" w:hAnsi="Times New Roman" w:cs="Times New Roman"/>
          <w:sz w:val="24"/>
          <w:szCs w:val="24"/>
          <w:lang w:val="en-GB"/>
        </w:rPr>
        <w:t xml:space="preserve"> but also </w:t>
      </w:r>
      <w:r w:rsidR="006251C2">
        <w:rPr>
          <w:rFonts w:ascii="Times New Roman" w:hAnsi="Times New Roman" w:cs="Times New Roman"/>
          <w:sz w:val="24"/>
          <w:szCs w:val="24"/>
          <w:lang w:val="en-GB"/>
        </w:rPr>
        <w:t xml:space="preserve">makes </w:t>
      </w:r>
      <w:r w:rsidR="00B776F5">
        <w:rPr>
          <w:rFonts w:ascii="Times New Roman" w:hAnsi="Times New Roman" w:cs="Times New Roman"/>
          <w:sz w:val="24"/>
          <w:szCs w:val="24"/>
          <w:lang w:val="en-GB"/>
        </w:rPr>
        <w:t xml:space="preserve">the ineffectiveness of the proposed technocratic strategies </w:t>
      </w:r>
      <w:r w:rsidR="006251C2">
        <w:rPr>
          <w:rFonts w:ascii="Times New Roman" w:hAnsi="Times New Roman" w:cs="Times New Roman"/>
          <w:sz w:val="24"/>
          <w:szCs w:val="24"/>
          <w:lang w:val="en-GB"/>
        </w:rPr>
        <w:t xml:space="preserve">tangible </w:t>
      </w:r>
      <w:r w:rsidR="00B776F5">
        <w:rPr>
          <w:rFonts w:ascii="Times New Roman" w:hAnsi="Times New Roman" w:cs="Times New Roman"/>
          <w:sz w:val="24"/>
          <w:szCs w:val="24"/>
          <w:lang w:val="en-GB"/>
        </w:rPr>
        <w:t xml:space="preserve">and draws attention towards the aspects that matter most in a PE approach. </w:t>
      </w:r>
    </w:p>
    <w:p w:rsidR="008F7023" w:rsidRDefault="008F7023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95226245"/>
        <w:docPartObj>
          <w:docPartGallery w:val="Bibliographies"/>
          <w:docPartUnique/>
        </w:docPartObj>
      </w:sdtPr>
      <w:sdtEndPr/>
      <w:sdtContent>
        <w:p w:rsidR="008F7023" w:rsidRPr="008F7023" w:rsidRDefault="008F7023">
          <w:pPr>
            <w:pStyle w:val="Heading1"/>
            <w:rPr>
              <w:rFonts w:ascii="Times New Roman" w:hAnsi="Times New Roman" w:cs="Times New Roman"/>
              <w:lang w:val="en-US"/>
            </w:rPr>
          </w:pPr>
          <w:r w:rsidRPr="008F7023">
            <w:rPr>
              <w:rFonts w:ascii="Times New Roman" w:hAnsi="Times New Roman" w:cs="Times New Roman"/>
              <w:lang w:val="en-US"/>
            </w:rPr>
            <w:t>References</w:t>
          </w:r>
        </w:p>
        <w:sdt>
          <w:sdtPr>
            <w:rPr>
              <w:rFonts w:ascii="Times New Roman" w:hAnsi="Times New Roman" w:cs="Times New Roman"/>
            </w:rPr>
            <w:id w:val="-573587230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:rsidR="008F7023" w:rsidRPr="008C4F2F" w:rsidRDefault="008F7023" w:rsidP="008F0888">
              <w:pPr>
                <w:pStyle w:val="Bibliography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8F7023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8C4F2F">
                <w:rPr>
                  <w:rFonts w:ascii="Times New Roman" w:hAnsi="Times New Roman" w:cs="Times New Roman"/>
                  <w:sz w:val="24"/>
                  <w:lang w:val="en-US"/>
                </w:rPr>
                <w:instrText xml:space="preserve"> BIBLIOGRAPHY </w:instrText>
              </w:r>
              <w:r w:rsidRPr="008F7023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8C4F2F">
                <w:rPr>
                  <w:rFonts w:ascii="Times New Roman" w:hAnsi="Times New Roman" w:cs="Times New Roman"/>
                  <w:noProof/>
                  <w:lang w:val="en-US"/>
                </w:rPr>
                <w:t xml:space="preserve">Harris, D., 2013. </w:t>
              </w:r>
              <w:r w:rsidRPr="008C4F2F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Applied political economy analyis: a problem driven framework, </w:t>
              </w:r>
              <w:r w:rsidRPr="008C4F2F">
                <w:rPr>
                  <w:rFonts w:ascii="Times New Roman" w:hAnsi="Times New Roman" w:cs="Times New Roman"/>
                  <w:noProof/>
                  <w:lang w:val="en-US"/>
                </w:rPr>
                <w:t>s.l.: ODI governance and politicas, US AID.</w:t>
              </w:r>
            </w:p>
            <w:p w:rsidR="008F7023" w:rsidRPr="008F7023" w:rsidRDefault="008F7023" w:rsidP="008F7023">
              <w:pPr>
                <w:pStyle w:val="Bibliography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lastRenderedPageBreak/>
                <w:t xml:space="preserve">Heirman, S. &amp; Coppens, T., 2013. </w:t>
              </w:r>
              <w:r w:rsidRPr="008F7023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Causes, consequences and affordability of urban sprawl in the Caribbean, case study Paramaribo. </w:t>
              </w: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>Port of Spain, s.n.</w:t>
              </w:r>
            </w:p>
            <w:p w:rsidR="008F7023" w:rsidRPr="008F7023" w:rsidRDefault="008F7023" w:rsidP="008F7023">
              <w:pPr>
                <w:pStyle w:val="Bibliography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 xml:space="preserve">Neuman, M., 2005. The compact city fallacy. </w:t>
              </w:r>
              <w:r w:rsidRPr="008F7023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The journal for planning education and planning, </w:t>
              </w: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>25(1), pp. 11 - 26.</w:t>
              </w:r>
            </w:p>
            <w:p w:rsidR="008F7023" w:rsidRPr="008F7023" w:rsidRDefault="008F7023" w:rsidP="008F7023">
              <w:pPr>
                <w:pStyle w:val="Bibliography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 xml:space="preserve">Ostrom, E., 2011. </w:t>
              </w:r>
              <w:r w:rsidRPr="008F7023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Understanding Institutional Diversity. </w:t>
              </w: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>Princeton: Princeton University Press.</w:t>
              </w:r>
            </w:p>
            <w:p w:rsidR="008F7023" w:rsidRPr="008F7023" w:rsidRDefault="008F7023" w:rsidP="008F7023">
              <w:pPr>
                <w:pStyle w:val="Bibliography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 xml:space="preserve">Phelps, N. A., 2012. </w:t>
              </w:r>
              <w:r w:rsidRPr="008F7023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Anatomy of sprawl: planning and politics in Britain. </w:t>
              </w: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>London: Routledge.</w:t>
              </w:r>
            </w:p>
            <w:p w:rsidR="008F7023" w:rsidRPr="008F7023" w:rsidRDefault="008F7023" w:rsidP="008F7023">
              <w:pPr>
                <w:pStyle w:val="Bibliography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 xml:space="preserve">UN Habitat, 2012. </w:t>
              </w:r>
              <w:r w:rsidRPr="008F7023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State of Latin American and Caribbean Cities 2012: towards a new urban transition, </w:t>
              </w: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>Nairobi: s.n.</w:t>
              </w:r>
            </w:p>
            <w:p w:rsidR="008F7023" w:rsidRPr="008F7023" w:rsidRDefault="008F7023" w:rsidP="008F7023">
              <w:pPr>
                <w:pStyle w:val="Bibliography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 xml:space="preserve">Verrest, H., Mohammed, A. &amp; Moorcroft, S., 2011. </w:t>
              </w:r>
              <w:r w:rsidRPr="008F7023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Towards a Caribbean Urban Agenda, </w:t>
              </w:r>
              <w:r w:rsidRPr="008F7023">
                <w:rPr>
                  <w:rFonts w:ascii="Times New Roman" w:hAnsi="Times New Roman" w:cs="Times New Roman"/>
                  <w:noProof/>
                  <w:lang w:val="en-US"/>
                </w:rPr>
                <w:t>Port of Spain: unpublished.</w:t>
              </w:r>
            </w:p>
            <w:p w:rsidR="008F7023" w:rsidRDefault="008F7023" w:rsidP="008F7023">
              <w:r w:rsidRPr="008F7023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8F7023" w:rsidRPr="00CE6EB6" w:rsidRDefault="008F7023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12FB2" w:rsidRDefault="00E12FB2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106D5" w:rsidRPr="00CE6EB6" w:rsidRDefault="00D106D5" w:rsidP="0062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106D5" w:rsidRPr="00CE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3E" w:rsidRDefault="00A1233E" w:rsidP="006251C2">
      <w:pPr>
        <w:spacing w:after="0" w:line="240" w:lineRule="auto"/>
      </w:pPr>
      <w:r>
        <w:separator/>
      </w:r>
    </w:p>
  </w:endnote>
  <w:endnote w:type="continuationSeparator" w:id="0">
    <w:p w:rsidR="00A1233E" w:rsidRDefault="00A1233E" w:rsidP="006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3E" w:rsidRDefault="00A1233E" w:rsidP="006251C2">
      <w:pPr>
        <w:spacing w:after="0" w:line="240" w:lineRule="auto"/>
      </w:pPr>
      <w:r>
        <w:separator/>
      </w:r>
    </w:p>
  </w:footnote>
  <w:footnote w:type="continuationSeparator" w:id="0">
    <w:p w:rsidR="00A1233E" w:rsidRDefault="00A1233E" w:rsidP="0062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80A64"/>
    <w:multiLevelType w:val="hybridMultilevel"/>
    <w:tmpl w:val="79A06DEA"/>
    <w:lvl w:ilvl="0" w:tplc="6A9A241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C3CC3"/>
    <w:multiLevelType w:val="hybridMultilevel"/>
    <w:tmpl w:val="354AD61E"/>
    <w:lvl w:ilvl="0" w:tplc="0396D8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17147"/>
    <w:multiLevelType w:val="hybridMultilevel"/>
    <w:tmpl w:val="F3CED47A"/>
    <w:lvl w:ilvl="0" w:tplc="6A9A241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4"/>
    <w:rsid w:val="00027418"/>
    <w:rsid w:val="0003207F"/>
    <w:rsid w:val="0003376A"/>
    <w:rsid w:val="000700F9"/>
    <w:rsid w:val="00077475"/>
    <w:rsid w:val="000A21EF"/>
    <w:rsid w:val="000B007C"/>
    <w:rsid w:val="000F1466"/>
    <w:rsid w:val="00102C5D"/>
    <w:rsid w:val="00104665"/>
    <w:rsid w:val="00132F09"/>
    <w:rsid w:val="00141579"/>
    <w:rsid w:val="00146956"/>
    <w:rsid w:val="00165831"/>
    <w:rsid w:val="00182306"/>
    <w:rsid w:val="001F3E87"/>
    <w:rsid w:val="00240CD4"/>
    <w:rsid w:val="00246107"/>
    <w:rsid w:val="0027549C"/>
    <w:rsid w:val="002A704E"/>
    <w:rsid w:val="002E660C"/>
    <w:rsid w:val="002F120C"/>
    <w:rsid w:val="00300FCF"/>
    <w:rsid w:val="00350DE0"/>
    <w:rsid w:val="00365095"/>
    <w:rsid w:val="003C2E4B"/>
    <w:rsid w:val="003C51AD"/>
    <w:rsid w:val="003E7046"/>
    <w:rsid w:val="004022C8"/>
    <w:rsid w:val="00403DB0"/>
    <w:rsid w:val="004237BB"/>
    <w:rsid w:val="00443E1F"/>
    <w:rsid w:val="004734D8"/>
    <w:rsid w:val="00487691"/>
    <w:rsid w:val="004C21AD"/>
    <w:rsid w:val="004D6B7C"/>
    <w:rsid w:val="004E0813"/>
    <w:rsid w:val="004E400C"/>
    <w:rsid w:val="005006DD"/>
    <w:rsid w:val="005400AA"/>
    <w:rsid w:val="00554B95"/>
    <w:rsid w:val="00572C55"/>
    <w:rsid w:val="005839A3"/>
    <w:rsid w:val="00585061"/>
    <w:rsid w:val="00596C53"/>
    <w:rsid w:val="005B5309"/>
    <w:rsid w:val="005E02A7"/>
    <w:rsid w:val="006251C2"/>
    <w:rsid w:val="00655A4A"/>
    <w:rsid w:val="006A0226"/>
    <w:rsid w:val="006A336A"/>
    <w:rsid w:val="006C5246"/>
    <w:rsid w:val="006D6DD6"/>
    <w:rsid w:val="006F5E4D"/>
    <w:rsid w:val="00711815"/>
    <w:rsid w:val="007215A0"/>
    <w:rsid w:val="0072341B"/>
    <w:rsid w:val="00726BE1"/>
    <w:rsid w:val="007B4E2E"/>
    <w:rsid w:val="007B69E7"/>
    <w:rsid w:val="007B7673"/>
    <w:rsid w:val="007C2503"/>
    <w:rsid w:val="007E4593"/>
    <w:rsid w:val="00826917"/>
    <w:rsid w:val="00827A5A"/>
    <w:rsid w:val="008723FD"/>
    <w:rsid w:val="00886A88"/>
    <w:rsid w:val="008C4F2F"/>
    <w:rsid w:val="008D014B"/>
    <w:rsid w:val="008F06D6"/>
    <w:rsid w:val="008F7023"/>
    <w:rsid w:val="00927CC3"/>
    <w:rsid w:val="009425CE"/>
    <w:rsid w:val="00953012"/>
    <w:rsid w:val="0096287C"/>
    <w:rsid w:val="00993C8F"/>
    <w:rsid w:val="009F6F10"/>
    <w:rsid w:val="00A01824"/>
    <w:rsid w:val="00A02987"/>
    <w:rsid w:val="00A1233E"/>
    <w:rsid w:val="00A3235A"/>
    <w:rsid w:val="00A64A06"/>
    <w:rsid w:val="00A85F19"/>
    <w:rsid w:val="00AC727E"/>
    <w:rsid w:val="00AE7C83"/>
    <w:rsid w:val="00B02DDA"/>
    <w:rsid w:val="00B03A76"/>
    <w:rsid w:val="00B04E57"/>
    <w:rsid w:val="00B20B19"/>
    <w:rsid w:val="00B776F5"/>
    <w:rsid w:val="00B9300A"/>
    <w:rsid w:val="00BA3F22"/>
    <w:rsid w:val="00BB5CDF"/>
    <w:rsid w:val="00BD71DB"/>
    <w:rsid w:val="00C00771"/>
    <w:rsid w:val="00C1057B"/>
    <w:rsid w:val="00C15796"/>
    <w:rsid w:val="00C36679"/>
    <w:rsid w:val="00C46CA6"/>
    <w:rsid w:val="00C800DF"/>
    <w:rsid w:val="00C80864"/>
    <w:rsid w:val="00C9342E"/>
    <w:rsid w:val="00CD380C"/>
    <w:rsid w:val="00CE6EB6"/>
    <w:rsid w:val="00D039BA"/>
    <w:rsid w:val="00D106D5"/>
    <w:rsid w:val="00D94A46"/>
    <w:rsid w:val="00DD03ED"/>
    <w:rsid w:val="00DD6A21"/>
    <w:rsid w:val="00E12FB2"/>
    <w:rsid w:val="00E1545F"/>
    <w:rsid w:val="00E26A42"/>
    <w:rsid w:val="00E3003F"/>
    <w:rsid w:val="00E30A4F"/>
    <w:rsid w:val="00E34B61"/>
    <w:rsid w:val="00E37931"/>
    <w:rsid w:val="00E4335C"/>
    <w:rsid w:val="00E5327C"/>
    <w:rsid w:val="00E5656A"/>
    <w:rsid w:val="00F03F1B"/>
    <w:rsid w:val="00F0692B"/>
    <w:rsid w:val="00F230C3"/>
    <w:rsid w:val="00F75287"/>
    <w:rsid w:val="00FA1F5F"/>
    <w:rsid w:val="00FD22B0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FFAE6-0E7C-43D2-8A17-58FDC47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628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1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C2"/>
  </w:style>
  <w:style w:type="paragraph" w:styleId="Footer">
    <w:name w:val="footer"/>
    <w:basedOn w:val="Normal"/>
    <w:link w:val="FooterChar"/>
    <w:uiPriority w:val="99"/>
    <w:unhideWhenUsed/>
    <w:rsid w:val="006251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C2"/>
  </w:style>
  <w:style w:type="paragraph" w:styleId="Bibliography">
    <w:name w:val="Bibliography"/>
    <w:basedOn w:val="Normal"/>
    <w:next w:val="Normal"/>
    <w:uiPriority w:val="37"/>
    <w:unhideWhenUsed/>
    <w:rsid w:val="00D1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Aud05</b:Tag>
    <b:SourceType>JournalArticle</b:SourceType>
    <b:Guid>{75B8D69B-BDA9-4CD5-8DD2-3B9CB42311BD}</b:Guid>
    <b:Author>
      <b:Author>
        <b:NameList>
          <b:Person>
            <b:Last>Audriac</b:Last>
            <b:First>I.</b:First>
          </b:Person>
        </b:NameList>
      </b:Author>
    </b:Author>
    <b:Title>Technology and urban form: challenges to smart growth</b:Title>
    <b:Year>2005</b:Year>
    <b:JournalName>International regional science review</b:JournalName>
    <b:Pages>119 - 145</b:Pages>
    <b:Volume>28</b:Volume>
    <b:Issue>2</b:Issue>
    <b:RefOrder>8</b:RefOrder>
  </b:Source>
  <b:Source>
    <b:Tag>Uni11</b:Tag>
    <b:SourceType>Report</b:SourceType>
    <b:Guid>{5F848990-8811-4BD2-A1AB-94C6FA967E66}</b:Guid>
    <b:Author>
      <b:Author>
        <b:Corporate>United Nations</b:Corporate>
      </b:Author>
    </b:Author>
    <b:Title>State of World's Cities 2010/2011, Bridging the urban divide</b:Title>
    <b:Year>2011</b:Year>
    <b:Publisher>UN Habitat</b:Publisher>
    <b:City>Nairobi</b:City>
    <b:RefOrder>9</b:RefOrder>
  </b:Source>
  <b:Source>
    <b:Tag>Hei13</b:Tag>
    <b:SourceType>ConferenceProceedings</b:SourceType>
    <b:Guid>{C4767463-ECFB-4899-B0D2-4BF05E107992}</b:Guid>
    <b:Title>Causes, consequences and affordability of urban sprawl in the Caribbean, case study Paramaribo</b:Title>
    <b:Year>2013</b:Year>
    <b:Author>
      <b:Author>
        <b:NameList>
          <b:Person>
            <b:Last>Heirman</b:Last>
            <b:First>S.</b:First>
          </b:Person>
          <b:Person>
            <b:Last>Coppens</b:Last>
            <b:First>T.</b:First>
          </b:Person>
        </b:NameList>
      </b:Author>
    </b:Author>
    <b:ConferenceName>Caribbean Urban Forum 2013</b:ConferenceName>
    <b:City>Port of Spain</b:City>
    <b:RefOrder>2</b:RefOrder>
  </b:Source>
  <b:Source>
    <b:Tag>Ver11</b:Tag>
    <b:SourceType>Report</b:SourceType>
    <b:Guid>{A843F76A-DC47-46B9-BB23-6E50027A75DD}</b:Guid>
    <b:Author>
      <b:Author>
        <b:NameList>
          <b:Person>
            <b:Last>Verrest</b:Last>
            <b:First>H.</b:First>
          </b:Person>
          <b:Person>
            <b:Last>Mohammed</b:Last>
            <b:First>A.</b:First>
          </b:Person>
          <b:Person>
            <b:Last>Moorcroft</b:Last>
            <b:First>S.</b:First>
          </b:Person>
        </b:NameList>
      </b:Author>
    </b:Author>
    <b:Title>Towards a Caribbean Urban Agenda</b:Title>
    <b:Year>2011</b:Year>
    <b:Publisher>unpublished</b:Publisher>
    <b:City>Port of Spain</b:City>
    <b:RefOrder>3</b:RefOrder>
  </b:Source>
  <b:Source>
    <b:Tag>Phe12</b:Tag>
    <b:SourceType>Book</b:SourceType>
    <b:Guid>{D8E90D1F-7D23-468C-991F-90E51C7745ED}</b:Guid>
    <b:Title>Anatomy of sprawl: planning and politics in Britain</b:Title>
    <b:Year>2012</b:Year>
    <b:Publisher>Routledge</b:Publisher>
    <b:City>London</b:City>
    <b:Author>
      <b:Author>
        <b:NameList>
          <b:Person>
            <b:Last>Phelps</b:Last>
            <b:First>N.</b:First>
            <b:Middle>A.</b:Middle>
          </b:Person>
        </b:NameList>
      </b:Author>
    </b:Author>
    <b:RefOrder>4</b:RefOrder>
  </b:Source>
  <b:Source>
    <b:Tag>Neu05</b:Tag>
    <b:SourceType>JournalArticle</b:SourceType>
    <b:Guid>{5A1E07D2-FD6D-4DF9-BC2D-6A1E56EBF94D}</b:Guid>
    <b:Title>The compact city fallacy</b:Title>
    <b:Year>2005</b:Year>
    <b:Author>
      <b:Author>
        <b:NameList>
          <b:Person>
            <b:Last>Neuman</b:Last>
            <b:First>M.</b:First>
          </b:Person>
        </b:NameList>
      </b:Author>
    </b:Author>
    <b:JournalName>The journal for planning education and planning</b:JournalName>
    <b:Pages>11 - 26</b:Pages>
    <b:Volume>25</b:Volume>
    <b:Issue>1</b:Issue>
    <b:RefOrder>5</b:RefOrder>
  </b:Source>
  <b:Source>
    <b:Tag>Har13</b:Tag>
    <b:SourceType>Report</b:SourceType>
    <b:Guid>{BECD6C00-35E8-4D8D-ACD8-793443E84FB8}</b:Guid>
    <b:Title>Applied political economy analyis: a problem driven framework</b:Title>
    <b:JournalName>ODI polictics and governance</b:JournalName>
    <b:Year>2013</b:Year>
    <b:Publisher>ODI governance and politicas, US AID</b:Publisher>
    <b:Author>
      <b:Author>
        <b:NameList>
          <b:Person>
            <b:Last>Harris</b:Last>
            <b:First>D.</b:First>
          </b:Person>
        </b:NameList>
      </b:Author>
    </b:Author>
    <b:RefOrder>6</b:RefOrder>
  </b:Source>
  <b:Source>
    <b:Tag>Ost11</b:Tag>
    <b:SourceType>Book</b:SourceType>
    <b:Guid>{02A0183F-8A21-42C0-96C0-D049E5D84AD8}</b:Guid>
    <b:Title>Understanding Institutional Diversity</b:Title>
    <b:Year>2011</b:Year>
    <b:Publisher>Princeton University Press</b:Publisher>
    <b:City>Princeton</b:City>
    <b:Author>
      <b:Author>
        <b:NameList>
          <b:Person>
            <b:Last>Ostrom</b:Last>
            <b:First>E.</b:First>
          </b:Person>
        </b:NameList>
      </b:Author>
    </b:Author>
    <b:RefOrder>7</b:RefOrder>
  </b:Source>
  <b:Source>
    <b:Tag>Ost90</b:Tag>
    <b:SourceType>Book</b:SourceType>
    <b:Guid>{3A8FD24E-54E1-4035-9DE0-C1F97BB94663}</b:Guid>
    <b:Title>Governing the Commons: the Evolution of Institutions for Collective Action</b:Title>
    <b:Year>1990</b:Year>
    <b:Publisher>Cambridge University Press</b:Publisher>
    <b:City>New York</b:City>
    <b:Author>
      <b:Author>
        <b:NameList>
          <b:Person>
            <b:Last>Ostrom</b:Last>
            <b:First>E.</b:First>
          </b:Person>
        </b:NameList>
      </b:Author>
    </b:Author>
    <b:Edition>29 edition (2011)</b:Edition>
    <b:RefOrder>10</b:RefOrder>
  </b:Source>
  <b:Source>
    <b:Tag>UNH12</b:Tag>
    <b:SourceType>Report</b:SourceType>
    <b:Guid>{411180AB-EB9D-48E9-A132-5C155D4EA714}</b:Guid>
    <b:Title>State of Latin American and Caribbean Cities 2012: towards a new urban transition</b:Title>
    <b:Year>2012</b:Year>
    <b:Author>
      <b:Author>
        <b:Corporate>UN Habitat</b:Corporate>
      </b:Author>
    </b:Author>
    <b:City>Nairobi</b:City>
    <b:RefOrder>1</b:RefOrder>
  </b:Source>
</b:Sources>
</file>

<file path=customXml/itemProps1.xml><?xml version="1.0" encoding="utf-8"?>
<ds:datastoreItem xmlns:ds="http://schemas.openxmlformats.org/officeDocument/2006/customXml" ds:itemID="{04FB62EB-5354-43A6-A872-C359298A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UAntwerpen.be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Heirman Sigrid</dc:creator>
  <cp:lastModifiedBy>Heirman Sigrid</cp:lastModifiedBy>
  <cp:revision>2</cp:revision>
  <dcterms:created xsi:type="dcterms:W3CDTF">2015-10-19T19:17:00Z</dcterms:created>
  <dcterms:modified xsi:type="dcterms:W3CDTF">2015-10-19T19:17:00Z</dcterms:modified>
</cp:coreProperties>
</file>