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15427" w14:textId="77777777" w:rsidR="0036538F" w:rsidRDefault="00035D52" w:rsidP="00035D52">
      <w:pPr>
        <w:spacing w:line="240" w:lineRule="auto"/>
        <w:rPr>
          <w:lang w:val="en-US"/>
        </w:rPr>
      </w:pPr>
      <w:r>
        <w:rPr>
          <w:lang w:val="en-US"/>
        </w:rPr>
        <w:t xml:space="preserve">Title: </w:t>
      </w:r>
      <w:r w:rsidR="00B54D4B" w:rsidRPr="00B54D4B">
        <w:rPr>
          <w:lang w:val="en-US"/>
        </w:rPr>
        <w:t xml:space="preserve">Planning with </w:t>
      </w:r>
      <w:r w:rsidR="00B54D4B">
        <w:rPr>
          <w:lang w:val="en-US"/>
        </w:rPr>
        <w:t xml:space="preserve">capital </w:t>
      </w:r>
      <w:r w:rsidR="00B54D4B" w:rsidRPr="00B54D4B">
        <w:rPr>
          <w:lang w:val="en-US"/>
        </w:rPr>
        <w:t>markets:</w:t>
      </w:r>
      <w:r w:rsidR="00B54D4B">
        <w:rPr>
          <w:lang w:val="en-US"/>
        </w:rPr>
        <w:t xml:space="preserve"> financial intermediaries’ investment standards and the political economy of urban production in </w:t>
      </w:r>
      <w:r>
        <w:rPr>
          <w:lang w:val="en-US"/>
        </w:rPr>
        <w:t xml:space="preserve">the </w:t>
      </w:r>
      <w:r w:rsidR="00B54D4B">
        <w:rPr>
          <w:lang w:val="en-US"/>
        </w:rPr>
        <w:t xml:space="preserve">French </w:t>
      </w:r>
      <w:r w:rsidR="00501EEA">
        <w:rPr>
          <w:lang w:val="en-US"/>
        </w:rPr>
        <w:t>commercial real estate</w:t>
      </w:r>
      <w:r>
        <w:rPr>
          <w:lang w:val="en-US"/>
        </w:rPr>
        <w:t xml:space="preserve"> sector.</w:t>
      </w:r>
    </w:p>
    <w:p w14:paraId="28160B86" w14:textId="77777777" w:rsidR="00035D52" w:rsidRDefault="00035D52" w:rsidP="00035D52">
      <w:pPr>
        <w:spacing w:line="240" w:lineRule="auto"/>
        <w:rPr>
          <w:lang w:val="en-US"/>
        </w:rPr>
      </w:pPr>
    </w:p>
    <w:p w14:paraId="70C4E5BA" w14:textId="77777777" w:rsidR="00035D52" w:rsidRDefault="00035D52" w:rsidP="00035D52">
      <w:pPr>
        <w:spacing w:line="240" w:lineRule="auto"/>
        <w:rPr>
          <w:lang w:val="en-US"/>
        </w:rPr>
      </w:pPr>
      <w:r>
        <w:rPr>
          <w:lang w:val="en-US"/>
        </w:rPr>
        <w:t>Author: Ludovic Halbert</w:t>
      </w:r>
    </w:p>
    <w:p w14:paraId="4CADF1F0" w14:textId="77777777" w:rsidR="00501EEA" w:rsidRDefault="00501EEA" w:rsidP="00035D52">
      <w:pPr>
        <w:spacing w:line="240" w:lineRule="auto"/>
        <w:rPr>
          <w:lang w:val="en-US"/>
        </w:rPr>
      </w:pPr>
    </w:p>
    <w:p w14:paraId="482772DB" w14:textId="33DD52F3" w:rsidR="00C20F2F" w:rsidRDefault="00751CAB" w:rsidP="00035D52">
      <w:pPr>
        <w:spacing w:line="240" w:lineRule="auto"/>
        <w:rPr>
          <w:lang w:val="en-US"/>
        </w:rPr>
      </w:pPr>
      <w:r>
        <w:rPr>
          <w:lang w:val="en-US"/>
        </w:rPr>
        <w:t>T</w:t>
      </w:r>
      <w:r w:rsidR="002E57D7">
        <w:rPr>
          <w:lang w:val="en-US"/>
        </w:rPr>
        <w:t>he financial infrastructure</w:t>
      </w:r>
      <w:r w:rsidR="00B12CAA">
        <w:rPr>
          <w:lang w:val="en-US"/>
        </w:rPr>
        <w:t xml:space="preserve"> </w:t>
      </w:r>
      <w:r w:rsidR="002E57D7">
        <w:rPr>
          <w:lang w:val="en-US"/>
        </w:rPr>
        <w:t xml:space="preserve">underpinning the production of contemporary city-regions </w:t>
      </w:r>
      <w:r>
        <w:rPr>
          <w:lang w:val="en-US"/>
        </w:rPr>
        <w:t xml:space="preserve">is transformed </w:t>
      </w:r>
      <w:r w:rsidR="00EC19DA">
        <w:rPr>
          <w:lang w:val="en-US"/>
        </w:rPr>
        <w:t xml:space="preserve">as </w:t>
      </w:r>
      <w:r w:rsidR="003B2DD1">
        <w:rPr>
          <w:lang w:val="en-US"/>
        </w:rPr>
        <w:t xml:space="preserve">financial </w:t>
      </w:r>
      <w:r w:rsidR="005F1240">
        <w:rPr>
          <w:lang w:val="en-US"/>
        </w:rPr>
        <w:t xml:space="preserve">intermediaries that </w:t>
      </w:r>
      <w:r w:rsidR="008A542E">
        <w:rPr>
          <w:lang w:val="en-US"/>
        </w:rPr>
        <w:t xml:space="preserve">pool </w:t>
      </w:r>
      <w:r w:rsidR="005F1240">
        <w:rPr>
          <w:lang w:val="en-US"/>
        </w:rPr>
        <w:t xml:space="preserve">economic agents’ savings </w:t>
      </w:r>
      <w:r w:rsidR="003C7658">
        <w:rPr>
          <w:lang w:val="en-US"/>
        </w:rPr>
        <w:t xml:space="preserve">and </w:t>
      </w:r>
      <w:r w:rsidR="008A542E">
        <w:rPr>
          <w:lang w:val="en-US"/>
        </w:rPr>
        <w:t xml:space="preserve">allocate them </w:t>
      </w:r>
      <w:r w:rsidR="003B2DD1">
        <w:rPr>
          <w:lang w:val="en-US"/>
        </w:rPr>
        <w:t xml:space="preserve">between </w:t>
      </w:r>
      <w:r w:rsidR="003C7658">
        <w:rPr>
          <w:lang w:val="en-US"/>
        </w:rPr>
        <w:t xml:space="preserve">various types of </w:t>
      </w:r>
      <w:r w:rsidR="003B2DD1">
        <w:rPr>
          <w:lang w:val="en-US"/>
        </w:rPr>
        <w:t>assets</w:t>
      </w:r>
      <w:r w:rsidR="000851F2">
        <w:rPr>
          <w:lang w:val="en-US"/>
        </w:rPr>
        <w:t xml:space="preserve"> </w:t>
      </w:r>
      <w:r w:rsidR="00995632">
        <w:rPr>
          <w:lang w:val="en-US"/>
        </w:rPr>
        <w:t xml:space="preserve">are gaining importance </w:t>
      </w:r>
      <w:r w:rsidR="00E14942">
        <w:rPr>
          <w:lang w:val="en-US"/>
        </w:rPr>
        <w:fldChar w:fldCharType="begin"/>
      </w:r>
      <w:r w:rsidR="00E14942">
        <w:rPr>
          <w:lang w:val="en-US"/>
        </w:rPr>
        <w:instrText xml:space="preserve"> ADDIN ZOTERO_ITEM CSL_CITATION {"citationID":"pe3prvom3","properties":{"formattedCitation":"(Froud, Johal, &amp; Williams, 2002)","plainCitation":"(Froud, Johal, &amp; Williams, 2002)"},"citationItems":[{"id":2596,"uris":["http://zotero.org/users/1731541/items/W7UDAQSU"],"uri":["http://zotero.org/users/1731541/items/W7UDAQSU"],"itemData":{"id":2596,"type":"article-journal","title":"Financialisation and the coupon pool","container-title":"Capital &amp; Class","page":"119-151","volume":"26","issue":"3","source":"cnc.sagepub.com","abstract":"This article aims to extend our understanding of the role of capital markets in present day capitalism. It starts from a critical examination of established terms, shareholder value, corporate governance and financialisation, before suggesting a new generic term, coupon pool capitalism. The second half aims to demonstrate that, unlike the other terms, the coupon pool concept distinctively emphasises the generation of contradictions and instabilities. Empirical evidence is used to support the concept and explore dynamics.","DOI":"10.1177/030981680207800106","ISSN":"0309-8168, 2041-0980","journalAbbreviation":"Capital &amp; Class","language":"en","author":[{"family":"Froud","given":"Julie"},{"family":"Johal","given":"Sukhdev"},{"family":"Williams","given":"Karel"}],"issued":{"date-parts":[["2002",10,1]]}}}],"schema":"https://github.com/citation-style-language/schema/raw/master/csl-citation.json"} </w:instrText>
      </w:r>
      <w:r w:rsidR="00E14942">
        <w:rPr>
          <w:lang w:val="en-US"/>
        </w:rPr>
        <w:fldChar w:fldCharType="separate"/>
      </w:r>
      <w:r w:rsidR="00E14942">
        <w:rPr>
          <w:noProof/>
          <w:lang w:val="en-US"/>
        </w:rPr>
        <w:t>(Froud, Johal, &amp; Williams, 2002 on coupon pool capitalism)</w:t>
      </w:r>
      <w:r w:rsidR="00E14942">
        <w:rPr>
          <w:lang w:val="en-US"/>
        </w:rPr>
        <w:fldChar w:fldCharType="end"/>
      </w:r>
      <w:r w:rsidR="00487827">
        <w:rPr>
          <w:lang w:val="en-US"/>
        </w:rPr>
        <w:t xml:space="preserve">. </w:t>
      </w:r>
      <w:r w:rsidR="0067284C">
        <w:rPr>
          <w:lang w:val="en-US"/>
        </w:rPr>
        <w:t>T</w:t>
      </w:r>
      <w:r w:rsidR="00487827">
        <w:rPr>
          <w:lang w:val="en-US"/>
        </w:rPr>
        <w:t>raditional savings</w:t>
      </w:r>
      <w:r w:rsidR="00995632">
        <w:rPr>
          <w:lang w:val="en-US"/>
        </w:rPr>
        <w:t>-</w:t>
      </w:r>
      <w:r w:rsidR="00487827">
        <w:rPr>
          <w:lang w:val="en-US"/>
        </w:rPr>
        <w:t>to</w:t>
      </w:r>
      <w:r w:rsidR="00995632">
        <w:rPr>
          <w:lang w:val="en-US"/>
        </w:rPr>
        <w:t>-</w:t>
      </w:r>
      <w:r w:rsidR="00487827">
        <w:rPr>
          <w:lang w:val="en-US"/>
        </w:rPr>
        <w:t xml:space="preserve">loans banking intermediation is </w:t>
      </w:r>
      <w:r w:rsidR="0067284C">
        <w:rPr>
          <w:lang w:val="en-US"/>
        </w:rPr>
        <w:t xml:space="preserve">thus partly </w:t>
      </w:r>
      <w:r w:rsidR="00995632">
        <w:rPr>
          <w:lang w:val="en-US"/>
        </w:rPr>
        <w:t xml:space="preserve">giving way to the financial re-intermediation </w:t>
      </w:r>
      <w:r w:rsidR="006B4B97">
        <w:rPr>
          <w:lang w:val="en-US"/>
        </w:rPr>
        <w:t xml:space="preserve">realized by </w:t>
      </w:r>
      <w:r w:rsidR="0067284C">
        <w:rPr>
          <w:lang w:val="en-US"/>
        </w:rPr>
        <w:t xml:space="preserve">the financial </w:t>
      </w:r>
      <w:r w:rsidR="006B4B97">
        <w:rPr>
          <w:lang w:val="en-US"/>
        </w:rPr>
        <w:t xml:space="preserve">intermediaries </w:t>
      </w:r>
      <w:r w:rsidR="00995632">
        <w:rPr>
          <w:lang w:val="en-US"/>
        </w:rPr>
        <w:t xml:space="preserve">active on </w:t>
      </w:r>
      <w:r w:rsidR="0067284C">
        <w:rPr>
          <w:lang w:val="en-US"/>
        </w:rPr>
        <w:t>capital markets</w:t>
      </w:r>
      <w:r w:rsidR="00F36BA6">
        <w:rPr>
          <w:lang w:val="en-US"/>
        </w:rPr>
        <w:t xml:space="preserve">. </w:t>
      </w:r>
      <w:r w:rsidR="006B4B97">
        <w:rPr>
          <w:lang w:val="en-US"/>
        </w:rPr>
        <w:t>As other economic activities</w:t>
      </w:r>
      <w:r w:rsidR="0067284C">
        <w:rPr>
          <w:lang w:val="en-US"/>
        </w:rPr>
        <w:t xml:space="preserve">, </w:t>
      </w:r>
      <w:r w:rsidR="006B4B97">
        <w:rPr>
          <w:lang w:val="en-US"/>
        </w:rPr>
        <w:t>the urban b</w:t>
      </w:r>
      <w:bookmarkStart w:id="0" w:name="_GoBack"/>
      <w:bookmarkEnd w:id="0"/>
      <w:r w:rsidR="006B4B97">
        <w:rPr>
          <w:lang w:val="en-US"/>
        </w:rPr>
        <w:t xml:space="preserve">uilt environment is affected by this evolution: </w:t>
      </w:r>
      <w:r w:rsidR="00F36BA6">
        <w:rPr>
          <w:lang w:val="en-US"/>
        </w:rPr>
        <w:t>financial intermediaries find in a growing number of urban actors (households, munici</w:t>
      </w:r>
      <w:r w:rsidR="000851F2">
        <w:rPr>
          <w:lang w:val="en-US"/>
        </w:rPr>
        <w:t>p</w:t>
      </w:r>
      <w:r w:rsidR="00F36BA6">
        <w:rPr>
          <w:lang w:val="en-US"/>
        </w:rPr>
        <w:t xml:space="preserve">alities, development companies…) and urban objects (land, buildings, highways, bridges, airports, sewers, photovoltaic panels…) </w:t>
      </w:r>
      <w:r w:rsidR="006B4B97">
        <w:rPr>
          <w:lang w:val="en-US"/>
        </w:rPr>
        <w:t xml:space="preserve">investment opportunities </w:t>
      </w:r>
      <w:r w:rsidR="000E18DC">
        <w:rPr>
          <w:lang w:val="en-US"/>
        </w:rPr>
        <w:t xml:space="preserve">that offer </w:t>
      </w:r>
      <w:r w:rsidR="00961F9D">
        <w:rPr>
          <w:lang w:val="en-US"/>
        </w:rPr>
        <w:t xml:space="preserve">promises of </w:t>
      </w:r>
      <w:r w:rsidR="00F36BA6">
        <w:rPr>
          <w:lang w:val="en-US"/>
        </w:rPr>
        <w:t>future income streams</w:t>
      </w:r>
      <w:r w:rsidR="00FB51BD">
        <w:rPr>
          <w:lang w:val="en-US"/>
        </w:rPr>
        <w:t xml:space="preserve"> </w:t>
      </w:r>
      <w:r w:rsidR="00E14942">
        <w:rPr>
          <w:lang w:val="en-US"/>
        </w:rPr>
        <w:fldChar w:fldCharType="begin"/>
      </w:r>
      <w:r w:rsidR="00702E75">
        <w:rPr>
          <w:lang w:val="en-US"/>
        </w:rPr>
        <w:instrText xml:space="preserve"> ADDIN ZOTERO_ITEM CSL_CITATION {"citationID":"23nac42vva","properties":{"formattedCitation":"(Leyshon &amp; Thrift, 2007)","plainCitation":"(Leyshon &amp; Thrift, 2007)"},"citationItems":[{"id":591,"uris":["http://zotero.org/users/1731541/items/VCHX9IXF"],"uri":["http://zotero.org/users/1731541/items/VCHX9IXF"],"itemData":{"id":591,"type":"article-journal","title":"The capitalization of almost everything: the future of finance and capitalism","container-title":"Theory, Culture &amp; Society","page":"97-115","volume":"24","note":"7-8","shortTitle":"The capitalization of almost everything: the future of finance and capitalism","author":[{"family":"Leyshon","given":"A"},{"family":"Thrift","given":"N"}],"issued":{"date-parts":[["2007"]]}}}],"schema":"https://github.com/citation-style-language/schema/raw/master/csl-citation.json"} </w:instrText>
      </w:r>
      <w:r w:rsidR="00E14942">
        <w:rPr>
          <w:lang w:val="en-US"/>
        </w:rPr>
        <w:fldChar w:fldCharType="separate"/>
      </w:r>
      <w:r w:rsidR="00702E75">
        <w:rPr>
          <w:noProof/>
          <w:lang w:val="en-US"/>
        </w:rPr>
        <w:t>(Leyshon &amp; Thrift, 2007)</w:t>
      </w:r>
      <w:r w:rsidR="00E14942">
        <w:rPr>
          <w:lang w:val="en-US"/>
        </w:rPr>
        <w:fldChar w:fldCharType="end"/>
      </w:r>
      <w:r w:rsidR="007D1F2C">
        <w:rPr>
          <w:lang w:val="en-US"/>
        </w:rPr>
        <w:t xml:space="preserve">. By bundling them in </w:t>
      </w:r>
      <w:r w:rsidR="003B2DD1">
        <w:rPr>
          <w:lang w:val="en-US"/>
        </w:rPr>
        <w:t>‘</w:t>
      </w:r>
      <w:r w:rsidR="003C7658">
        <w:rPr>
          <w:lang w:val="en-US"/>
        </w:rPr>
        <w:t xml:space="preserve">alternative </w:t>
      </w:r>
      <w:r w:rsidR="00961F9D">
        <w:rPr>
          <w:lang w:val="en-US"/>
        </w:rPr>
        <w:t xml:space="preserve">investments </w:t>
      </w:r>
      <w:r w:rsidR="003C7658">
        <w:rPr>
          <w:lang w:val="en-US"/>
        </w:rPr>
        <w:t>portfolio</w:t>
      </w:r>
      <w:r w:rsidR="00961F9D">
        <w:rPr>
          <w:lang w:val="en-US"/>
        </w:rPr>
        <w:t>s</w:t>
      </w:r>
      <w:r w:rsidR="003B2DD1">
        <w:rPr>
          <w:lang w:val="en-US"/>
        </w:rPr>
        <w:t>’</w:t>
      </w:r>
      <w:r w:rsidR="00FB51BD">
        <w:rPr>
          <w:lang w:val="en-US"/>
        </w:rPr>
        <w:t xml:space="preserve"> </w:t>
      </w:r>
      <w:r w:rsidR="00702E75">
        <w:rPr>
          <w:lang w:val="en-US"/>
        </w:rPr>
        <w:fldChar w:fldCharType="begin"/>
      </w:r>
      <w:r w:rsidR="00702E75">
        <w:rPr>
          <w:lang w:val="en-US"/>
        </w:rPr>
        <w:instrText xml:space="preserve"> ADDIN ZOTERO_ITEM CSL_CITATION {"citationID":"7dkqninkn","properties":{"formattedCitation":"(Torrance, 2008)","plainCitation":"(Torrance, 2008)"},"citationItems":[{"id":370,"uris":["http://zotero.org/users/1731541/items/V7KHMNXS"],"uri":["http://zotero.org/users/1731541/items/V7KHMNXS"],"itemData":{"id":370,"type":"article-journal","title":"Forging Glocal Governance? Urban Infrastructures as Networked Financial Products","container-title":"International Journal of Urban and Regional Research","page":"1-21","volume":"32","DOI":"10.1111/j.1468-2427.2007.00756.x","note":"1","shortTitle":"Forging Glocal Governance? Urban Infrastructures as Networked Financial Products","author":[{"family":"Torrance","given":"Morag"}],"issued":{"date-parts":[["2008"]]}}}],"schema":"https://github.com/citation-style-language/schema/raw/master/csl-citation.json"} </w:instrText>
      </w:r>
      <w:r w:rsidR="00702E75">
        <w:rPr>
          <w:lang w:val="en-US"/>
        </w:rPr>
        <w:fldChar w:fldCharType="separate"/>
      </w:r>
      <w:r w:rsidR="00702E75">
        <w:rPr>
          <w:noProof/>
          <w:lang w:val="en-US"/>
        </w:rPr>
        <w:t>(Torrance, 2008)</w:t>
      </w:r>
      <w:r w:rsidR="00702E75">
        <w:rPr>
          <w:lang w:val="en-US"/>
        </w:rPr>
        <w:fldChar w:fldCharType="end"/>
      </w:r>
      <w:r w:rsidR="007D1F2C">
        <w:rPr>
          <w:lang w:val="en-US"/>
        </w:rPr>
        <w:t xml:space="preserve">, </w:t>
      </w:r>
      <w:r w:rsidR="000851F2">
        <w:rPr>
          <w:lang w:val="en-US"/>
        </w:rPr>
        <w:t xml:space="preserve">and trading them publicly or over-the-counter, </w:t>
      </w:r>
      <w:r w:rsidR="000E18DC">
        <w:rPr>
          <w:lang w:val="en-US"/>
        </w:rPr>
        <w:t xml:space="preserve">these </w:t>
      </w:r>
      <w:r w:rsidR="007D1F2C">
        <w:rPr>
          <w:lang w:val="en-US"/>
        </w:rPr>
        <w:t xml:space="preserve">financial intermediaries contribute to transform </w:t>
      </w:r>
      <w:r w:rsidR="000851F2">
        <w:rPr>
          <w:lang w:val="en-US"/>
        </w:rPr>
        <w:t xml:space="preserve">urban assets </w:t>
      </w:r>
      <w:r w:rsidR="007D1F2C">
        <w:rPr>
          <w:lang w:val="en-US"/>
        </w:rPr>
        <w:t xml:space="preserve">into financial commodities and </w:t>
      </w:r>
      <w:r w:rsidR="000E18DC">
        <w:rPr>
          <w:lang w:val="en-US"/>
        </w:rPr>
        <w:t xml:space="preserve">financial </w:t>
      </w:r>
      <w:r w:rsidR="007D1F2C">
        <w:rPr>
          <w:lang w:val="en-US"/>
        </w:rPr>
        <w:t>subjects</w:t>
      </w:r>
      <w:r w:rsidR="00FB51BD">
        <w:rPr>
          <w:lang w:val="en-US"/>
        </w:rPr>
        <w:t xml:space="preserve"> </w:t>
      </w:r>
      <w:r w:rsidR="00702E75">
        <w:rPr>
          <w:lang w:val="en-US"/>
        </w:rPr>
        <w:fldChar w:fldCharType="begin"/>
      </w:r>
      <w:r w:rsidR="00702E75">
        <w:rPr>
          <w:lang w:val="en-US"/>
        </w:rPr>
        <w:instrText xml:space="preserve"> ADDIN ZOTERO_ITEM CSL_CITATION {"citationID":"286jeb1njr","properties":{"formattedCitation":"(Martin, 2002)","plainCitation":"(Martin, 2002)"},"citationItems":[{"id":1149,"uris":["http://zotero.org/users/1731541/items/ZNR9G8ZW"],"uri":["http://zotero.org/users/1731541/items/ZNR9G8ZW"],"itemData":{"id":1149,"type":"book","title":"Financialization of daily life","publisher":"Temple Univ Pr","ISBN":"1-56639-988-2","shortTitle":"Financialization of daily life","author":[{"family":"Martin","given":"R."}],"issued":{"date-parts":[["2002"]]}}}],"schema":"https://github.com/citation-style-language/schema/raw/master/csl-citation.json"} </w:instrText>
      </w:r>
      <w:r w:rsidR="00702E75">
        <w:rPr>
          <w:lang w:val="en-US"/>
        </w:rPr>
        <w:fldChar w:fldCharType="separate"/>
      </w:r>
      <w:r w:rsidR="00702E75">
        <w:rPr>
          <w:noProof/>
          <w:lang w:val="en-US"/>
        </w:rPr>
        <w:t>(Martin, 2002)</w:t>
      </w:r>
      <w:r w:rsidR="00702E75">
        <w:rPr>
          <w:lang w:val="en-US"/>
        </w:rPr>
        <w:fldChar w:fldCharType="end"/>
      </w:r>
      <w:r w:rsidR="000851F2">
        <w:rPr>
          <w:lang w:val="en-US"/>
        </w:rPr>
        <w:t xml:space="preserve">. </w:t>
      </w:r>
    </w:p>
    <w:p w14:paraId="2C6E2044" w14:textId="41282D57" w:rsidR="007D1F2C" w:rsidRDefault="00BC427F" w:rsidP="00035D52">
      <w:pPr>
        <w:spacing w:line="240" w:lineRule="auto"/>
        <w:rPr>
          <w:lang w:val="en-US"/>
        </w:rPr>
      </w:pPr>
      <w:r>
        <w:rPr>
          <w:lang w:val="en-US"/>
        </w:rPr>
        <w:t>This evolution</w:t>
      </w:r>
      <w:r w:rsidR="003B6B28">
        <w:rPr>
          <w:lang w:val="en-US"/>
        </w:rPr>
        <w:t xml:space="preserve"> in the </w:t>
      </w:r>
      <w:r w:rsidR="00961F9D">
        <w:rPr>
          <w:lang w:val="en-US"/>
        </w:rPr>
        <w:t xml:space="preserve">financial infrastructure </w:t>
      </w:r>
      <w:r w:rsidR="003B6B28">
        <w:rPr>
          <w:lang w:val="en-US"/>
        </w:rPr>
        <w:t>has sparkled several researches that look</w:t>
      </w:r>
      <w:r w:rsidR="0093362C">
        <w:rPr>
          <w:lang w:val="en-US"/>
        </w:rPr>
        <w:t xml:space="preserve"> at how financial re-intermediation affect</w:t>
      </w:r>
      <w:r w:rsidR="003B6B28">
        <w:rPr>
          <w:lang w:val="en-US"/>
        </w:rPr>
        <w:t>s</w:t>
      </w:r>
      <w:r w:rsidR="0093362C">
        <w:rPr>
          <w:lang w:val="en-US"/>
        </w:rPr>
        <w:t xml:space="preserve"> the </w:t>
      </w:r>
      <w:r w:rsidR="003B6B28">
        <w:rPr>
          <w:lang w:val="en-US"/>
        </w:rPr>
        <w:t>production of the urban built environment</w:t>
      </w:r>
      <w:r w:rsidR="00FB51BD">
        <w:rPr>
          <w:lang w:val="en-US"/>
        </w:rPr>
        <w:t xml:space="preserve"> (see </w:t>
      </w:r>
      <w:proofErr w:type="spellStart"/>
      <w:r w:rsidR="00FB51BD">
        <w:rPr>
          <w:lang w:val="en-US"/>
        </w:rPr>
        <w:t>Attuyer</w:t>
      </w:r>
      <w:proofErr w:type="spellEnd"/>
      <w:r w:rsidR="00FB51BD">
        <w:rPr>
          <w:lang w:val="en-US"/>
        </w:rPr>
        <w:t xml:space="preserve"> and Halbert, forthcoming)</w:t>
      </w:r>
      <w:r w:rsidR="003B6B28">
        <w:rPr>
          <w:lang w:val="en-US"/>
        </w:rPr>
        <w:t xml:space="preserve">. A key result is that, whether the local planning authorities welcome such financial intermediaries, negotiate the conditions of </w:t>
      </w:r>
      <w:r w:rsidR="00094100">
        <w:rPr>
          <w:lang w:val="en-US"/>
        </w:rPr>
        <w:t>their investments</w:t>
      </w:r>
      <w:r w:rsidR="00A177C1">
        <w:rPr>
          <w:lang w:val="en-US"/>
        </w:rPr>
        <w:t>,</w:t>
      </w:r>
      <w:r w:rsidR="00094100">
        <w:rPr>
          <w:lang w:val="en-US"/>
        </w:rPr>
        <w:t xml:space="preserve"> or </w:t>
      </w:r>
      <w:r w:rsidR="00A177C1">
        <w:rPr>
          <w:lang w:val="en-US"/>
        </w:rPr>
        <w:t xml:space="preserve">even </w:t>
      </w:r>
      <w:r w:rsidR="00094100">
        <w:rPr>
          <w:lang w:val="en-US"/>
        </w:rPr>
        <w:t xml:space="preserve">attempt to resist to them, they are always confronted to </w:t>
      </w:r>
      <w:r>
        <w:rPr>
          <w:lang w:val="en-US"/>
        </w:rPr>
        <w:t xml:space="preserve">what appear to be </w:t>
      </w:r>
      <w:r w:rsidR="00094100">
        <w:rPr>
          <w:lang w:val="en-US"/>
        </w:rPr>
        <w:t xml:space="preserve">financial intermediaries’ investments standards </w:t>
      </w:r>
      <w:r w:rsidR="00702E75">
        <w:rPr>
          <w:lang w:val="en-US"/>
        </w:rPr>
        <w:fldChar w:fldCharType="begin"/>
      </w:r>
      <w:r w:rsidR="00BE023E">
        <w:rPr>
          <w:lang w:val="en-US"/>
        </w:rPr>
        <w:instrText xml:space="preserve"> ADDIN ZOTERO_ITEM CSL_CITATION {"citationID":"5ahfrsqd7","properties":{"formattedCitation":"(David &amp; Halbert, 2014; Guironnet, Attuyer, &amp; Halbert, 2015; Theurillat &amp; Crevoisier, 2014)","plainCitation":"(David &amp; Halbert, 2014; Guironnet, Attuyer, &amp; Halbert, 2015; Theurillat &amp; Crevoisier, 2014)"},"citationItems":[{"id":2482,"uris":["http://zotero.org/users/1731541/items/UFE4ZZSQ"],"uri":["http://zotero.org/users/1731541/items/UFE4ZZSQ"],"itemData":{"id":2482,"type":"article-journal","title":"Finance Capital, Actor-Network Theory and the Struggle Over Calculative Agencies in the Business Property Markets of Mexico City Metropolitan Region","container-title":"Regional Studies","page":"516-529","volume":"48","issue":"3","source":"Taylor and Francis+NEJM","abstract":"David L. and Halbert L. Finance capital, actor-network theory and the struggle over calculative agencies in the business property markets of Mexico City Metropolitan Region, Regional Studies. The selective spatialities of business property in the Mexico City Metropolitan Region are explained with reference to actor-network theory. Building on a conception of markets as the outcomes of the confrontation between different calculative agencies, the paper discusses how investment managers have to negotiate the integration of new buildings and spaces into their portfolios alongside pre-existing actor-networks whose power and autonomy differ across the metropolitan area. In a fragmented city-region, the longstanding urban coalition in the central part of the area may lock out the business property development market to finance capital while some peripheral areas may be more opened up.","DOI":"10.1080/00343404.2012.756581","ISSN":"0034-3404","author":[{"family":"David","given":"Louise"},{"family":"Halbert","given":"Ludovic"}],"issued":{"date-parts":[["2014",3,4]]}}},{"id":333,"uris":["http://zotero.org/users/1731541/items/83F5HMDK"],"uri":["http://zotero.org/users/1731541/items/83F5HMDK"],"itemData":{"id":333,"type":"article-journal","title":"Building cities on financial assets: The financialisation of property markets and its implications for city governments in the Paris city-region","container-title":"Urban Studies","page":"0042098015576474","source":"usj.sagepub.com","abstract":"The 2008 global financial meltdown has redirected attention to the entwinement of financial markets and the urban built environment. Against that background, recent works in urban political economy have focused on how city governments support the rent-maximisation strategies of landowners, thereby reinforcing ‘the increasing tendency to treat land as a financial asset’ (Harvey, [1982]2006). However, this perspective paradoxically understates the importance of market finance actors, neglecting to demonstrate how, in practice, such financial investors, who have been shown to adopt selective investment practices, shape urban redevelopment projects. In this article, the role of financial investors is analysed through a case study of a large-scale redevelopment project on the outskirts of the Paris city-region (city of Saint-Ouen). The analysis of negotiations over urban design and economic development issues – raised by property developers seeking to fashion commercial properties as investment assets – reveals the unevenness of a local authority’s ability to implement an agenda that potentially diverges from the expectations of financial investors. Accordingly, given the growing importance of investors in the ownership of the built environment, the article considers urban redevelopment as the outcome of power relations that originate in the circulation of investors’ expectations. These expectations are met through translating market finance categories (risk, return and liquidity) into elements of the urban fabric. This bears substantial consequences for policy-making, given the current context of austerity, as municipal authorities are increasingly constrained to rely on property markets. Urban redevelopment projects are thereby increasingly shaped to provide investment assets for financial investors.","DOI":"10.1177/0042098015576474","ISSN":"0042-0980, 1360-063X","shortTitle":"Building cities on financial assets","journalAbbreviation":"Urban Stud","language":"en","author":[{"family":"Guironnet","given":"Antoine"},{"family":"Attuyer","given":"Katia"},{"family":"Halbert","given":"Ludovic"}],"issued":{"date-parts":[["2015",4,7]]}}},{"id":2181,"uris":["http://zotero.org/users/1731541/items/NCJ7WXCV"],"uri":["http://zotero.org/users/1731541/items/NCJ7WXCV"],"itemData":{"id":2181,"type":"article-journal","title":"Sustainability and the anchoring of capital: negotiations surrounding two major urban projects in Switzerland","container-title":"Regional Studies","page":"501-515","volume":"48","issue":"3","ISSN":"0034-3404","journalAbbreviation":"Regional Studies","author":[{"family":"Theurillat","given":"Thierry"},{"family":"Crevoisier","given":"Olivier"}],"issued":{"date-parts":[["2014"]]}}}],"schema":"https://github.com/citation-style-language/schema/raw/master/csl-citation.json"} </w:instrText>
      </w:r>
      <w:r w:rsidR="00702E75">
        <w:rPr>
          <w:lang w:val="en-US"/>
        </w:rPr>
        <w:fldChar w:fldCharType="separate"/>
      </w:r>
      <w:r w:rsidR="00BE023E">
        <w:rPr>
          <w:noProof/>
          <w:lang w:val="en-US"/>
        </w:rPr>
        <w:t>(David &amp; Halbert, 2014; Guironnet, Attuyer, &amp; Halbert, 2015; Theurillat &amp; Crevoisier, 2014)</w:t>
      </w:r>
      <w:r w:rsidR="00702E75">
        <w:rPr>
          <w:lang w:val="en-US"/>
        </w:rPr>
        <w:fldChar w:fldCharType="end"/>
      </w:r>
      <w:r w:rsidR="00094100">
        <w:rPr>
          <w:lang w:val="en-US"/>
        </w:rPr>
        <w:t>(</w:t>
      </w:r>
      <w:proofErr w:type="spellStart"/>
      <w:r>
        <w:rPr>
          <w:lang w:val="en-US"/>
        </w:rPr>
        <w:t>Theurillat</w:t>
      </w:r>
      <w:proofErr w:type="spellEnd"/>
      <w:r>
        <w:rPr>
          <w:lang w:val="en-US"/>
        </w:rPr>
        <w:t xml:space="preserve"> et al., 2013; </w:t>
      </w:r>
      <w:r w:rsidR="00094100">
        <w:rPr>
          <w:lang w:val="en-US"/>
        </w:rPr>
        <w:t xml:space="preserve">David and Louise, 2014; </w:t>
      </w:r>
      <w:proofErr w:type="spellStart"/>
      <w:r>
        <w:rPr>
          <w:lang w:val="en-US"/>
        </w:rPr>
        <w:t>Guironnet</w:t>
      </w:r>
      <w:proofErr w:type="spellEnd"/>
      <w:r>
        <w:rPr>
          <w:lang w:val="en-US"/>
        </w:rPr>
        <w:t xml:space="preserve"> et al., 2015)</w:t>
      </w:r>
      <w:r w:rsidR="00A177C1">
        <w:rPr>
          <w:lang w:val="en-US"/>
        </w:rPr>
        <w:t xml:space="preserve">. </w:t>
      </w:r>
    </w:p>
    <w:p w14:paraId="17D888FA" w14:textId="4A850D2C" w:rsidR="00787D32" w:rsidRDefault="00A177C1" w:rsidP="00035D52">
      <w:pPr>
        <w:spacing w:line="240" w:lineRule="auto"/>
        <w:rPr>
          <w:lang w:val="en-US"/>
        </w:rPr>
      </w:pPr>
      <w:r>
        <w:rPr>
          <w:lang w:val="en-US"/>
        </w:rPr>
        <w:t>Such ‘investment standards’ are explained differently</w:t>
      </w:r>
      <w:r w:rsidR="009C3284">
        <w:rPr>
          <w:lang w:val="en-US"/>
        </w:rPr>
        <w:t xml:space="preserve"> </w:t>
      </w:r>
      <w:r w:rsidR="00513396">
        <w:rPr>
          <w:lang w:val="en-US"/>
        </w:rPr>
        <w:t xml:space="preserve">by </w:t>
      </w:r>
      <w:r w:rsidR="009C3284">
        <w:rPr>
          <w:lang w:val="en-US"/>
        </w:rPr>
        <w:t xml:space="preserve">various schools of thoughts. In neoclassic-inspired accounts, financial intermediaries do not </w:t>
      </w:r>
      <w:r w:rsidR="00E27946">
        <w:rPr>
          <w:lang w:val="en-US"/>
        </w:rPr>
        <w:t xml:space="preserve">hold </w:t>
      </w:r>
      <w:r w:rsidR="009C3284">
        <w:rPr>
          <w:lang w:val="en-US"/>
        </w:rPr>
        <w:t>any agency</w:t>
      </w:r>
      <w:r w:rsidR="00E27946">
        <w:rPr>
          <w:lang w:val="en-US"/>
        </w:rPr>
        <w:t xml:space="preserve">: they </w:t>
      </w:r>
      <w:r w:rsidR="00513396">
        <w:rPr>
          <w:lang w:val="en-US"/>
        </w:rPr>
        <w:t xml:space="preserve">are believed to merely match </w:t>
      </w:r>
      <w:r w:rsidR="009C3284">
        <w:rPr>
          <w:lang w:val="en-US"/>
        </w:rPr>
        <w:t xml:space="preserve">the </w:t>
      </w:r>
      <w:r w:rsidR="00E27946">
        <w:rPr>
          <w:lang w:val="en-US"/>
        </w:rPr>
        <w:t>needs of investors</w:t>
      </w:r>
      <w:r w:rsidR="00513396">
        <w:rPr>
          <w:lang w:val="en-US"/>
        </w:rPr>
        <w:t xml:space="preserve"> and the expectations of savers</w:t>
      </w:r>
      <w:r w:rsidR="00E27946">
        <w:rPr>
          <w:lang w:val="en-US"/>
        </w:rPr>
        <w:t xml:space="preserve">. In a </w:t>
      </w:r>
      <w:r w:rsidR="00A0575A">
        <w:rPr>
          <w:lang w:val="en-US"/>
        </w:rPr>
        <w:t xml:space="preserve">partly </w:t>
      </w:r>
      <w:r w:rsidR="00E27946">
        <w:rPr>
          <w:lang w:val="en-US"/>
        </w:rPr>
        <w:t xml:space="preserve">similar understanding, Marxist theory </w:t>
      </w:r>
      <w:r w:rsidR="00A0575A">
        <w:rPr>
          <w:lang w:val="en-US"/>
        </w:rPr>
        <w:t xml:space="preserve">assigns financial investors to follow a principle of rent maximization </w:t>
      </w:r>
      <w:r w:rsidR="009544F4">
        <w:rPr>
          <w:lang w:val="en-US"/>
        </w:rPr>
        <w:t>whereby they treat land and properties as financial asset</w:t>
      </w:r>
      <w:r w:rsidR="00172967">
        <w:rPr>
          <w:lang w:val="en-US"/>
        </w:rPr>
        <w:t>s</w:t>
      </w:r>
      <w:r w:rsidR="009544F4">
        <w:rPr>
          <w:lang w:val="en-US"/>
        </w:rPr>
        <w:t xml:space="preserve">, i.e. for the rent </w:t>
      </w:r>
      <w:r w:rsidR="00172967">
        <w:rPr>
          <w:lang w:val="en-US"/>
        </w:rPr>
        <w:t xml:space="preserve">they </w:t>
      </w:r>
      <w:r w:rsidR="009544F4">
        <w:rPr>
          <w:lang w:val="en-US"/>
        </w:rPr>
        <w:t xml:space="preserve">may yield </w:t>
      </w:r>
      <w:r w:rsidR="00BE023E">
        <w:rPr>
          <w:lang w:val="en-US"/>
        </w:rPr>
        <w:fldChar w:fldCharType="begin"/>
      </w:r>
      <w:r w:rsidR="00BE023E">
        <w:rPr>
          <w:lang w:val="en-US"/>
        </w:rPr>
        <w:instrText xml:space="preserve"> ADDIN ZOTERO_ITEM CSL_CITATION {"citationID":"1raf4vuesm","properties":{"formattedCitation":"(Charnock, Purcell, &amp; Ribera-Fumaz, 2014; Harvey, 1982; Kaika &amp; Ruggiero, 2013)","plainCitation":"(Charnock, Purcell, &amp; Ribera-Fumaz, 2014; Harvey, 1982; Kaika &amp; Ruggiero, 2013)"},"citationItems":[{"id":1765,"uris":["http://zotero.org/users/1731541/items/RFSMGPGU"],"uri":["http://zotero.org/users/1731541/items/RFSMGPGU"],"itemData":{"id":1765,"type":"article-journal","title":"City of Rents: The limits to the Barcelona model of urban competitiveness","container-title":"International Journal of Urban and Regional Research","page":"198–217","volume":"38","issue":"1","source":"Wiley Online Library","abstract":"The turn towards the knowledge-based economy and creative strategies to enhance urban competitiveness within it has been well documented. Yet too little has been said to date about the transformation of land use for new productive activities, and the contradictions inherent to this process. Our case study is Barcelona, an erstwhile ‘model’ for urban regeneration which has sought to transform itself into a global knowledge city since 2000. Through the lens of Marxian value theory, and Harvey's writing on urban monopoly rents especially, we show how the 22@Barcelona project — conceived with received wisdom about the determinants of urban knowledge-based competitiveness in mind — amounted to an exercise in the capture of monopoly rents, driven by the compulsion of public sector institutions, financiers and developers to pursue rental profit-maximizing opportunities through the mobilization of land as a financial asset.","DOI":"10.1111/1468-2427.12103","ISSN":"1468-2427","shortTitle":"City of Rents","language":"en","author":[{"family":"Charnock","given":"Greig"},{"family":"Purcell","given":"Thomas F."},{"family":"Ribera-Fumaz","given":"Ramon"}],"issued":{"date-parts":[["2014"]]}}},{"id":1739,"uris":["http://zotero.org/users/1731541/items/I83XKN2S"],"uri":["http://zotero.org/users/1731541/items/I83XKN2S"],"itemData":{"id":1739,"type":"book","title":"The Limits to Capital","publisher":"University of Chicago Press","publisher-place":"Chicago","event-place":"Chicago","shortTitle":"The Limits to Capital","author":[{"family":"Harvey","given":"David"}],"issued":{"date-parts":[["1982"]]}}},{"id":12,"uris":["http://zotero.org/users/1731541/items/83REIF5A"],"uri":["http://zotero.org/users/1731541/items/83REIF5A"],"itemData":{"id":12,"type":"article-journal","title":"Land Financialization as a 'lived' process: The transformation of Milan's Bicocca by Pirelli","container-title":"European Urban and Regional Studies","page":"1-20","volume":"0","note":"0","shortTitle":"Land Financialization as a 'lived' process: The transformation of Milan's Bicocca by Pirelli","author":[{"family":"Kaika","given":"Maria"},{"family":"Ruggiero","given":"Luca"}],"issued":{"date-parts":[["2013"]]}}}],"schema":"https://github.com/citation-style-language/schema/raw/master/csl-citation.json"} </w:instrText>
      </w:r>
      <w:r w:rsidR="00BE023E">
        <w:rPr>
          <w:lang w:val="en-US"/>
        </w:rPr>
        <w:fldChar w:fldCharType="separate"/>
      </w:r>
      <w:r w:rsidR="00BE023E">
        <w:rPr>
          <w:noProof/>
          <w:lang w:val="en-US"/>
        </w:rPr>
        <w:t>(Charnock, Purcell, &amp; Ribera-Fumaz, 2014; Harvey, 1982; Kaika &amp; Ruggiero, 2013)</w:t>
      </w:r>
      <w:r w:rsidR="00BE023E">
        <w:rPr>
          <w:lang w:val="en-US"/>
        </w:rPr>
        <w:fldChar w:fldCharType="end"/>
      </w:r>
      <w:r w:rsidR="009544F4">
        <w:rPr>
          <w:lang w:val="en-US"/>
        </w:rPr>
        <w:t xml:space="preserve">. </w:t>
      </w:r>
      <w:r w:rsidR="00172967">
        <w:rPr>
          <w:lang w:val="en-US"/>
        </w:rPr>
        <w:t xml:space="preserve">Recognizing the possibilities of </w:t>
      </w:r>
      <w:r w:rsidR="00F26291">
        <w:rPr>
          <w:lang w:val="en-US"/>
        </w:rPr>
        <w:t xml:space="preserve">market </w:t>
      </w:r>
      <w:r w:rsidR="00172967">
        <w:rPr>
          <w:lang w:val="en-US"/>
        </w:rPr>
        <w:t xml:space="preserve">inefficiencies, neo-institutional accounts </w:t>
      </w:r>
      <w:r w:rsidR="00F26291">
        <w:rPr>
          <w:lang w:val="en-US"/>
        </w:rPr>
        <w:t xml:space="preserve">integrate asymmetry of information theory but do not go as far as to recognize any </w:t>
      </w:r>
      <w:r w:rsidR="00F15365">
        <w:rPr>
          <w:lang w:val="en-US"/>
        </w:rPr>
        <w:t xml:space="preserve">specific </w:t>
      </w:r>
      <w:r w:rsidR="00BF0AFA">
        <w:rPr>
          <w:lang w:val="en-US"/>
        </w:rPr>
        <w:t xml:space="preserve">agency </w:t>
      </w:r>
      <w:r w:rsidR="00F26291">
        <w:rPr>
          <w:lang w:val="en-US"/>
        </w:rPr>
        <w:t xml:space="preserve">to </w:t>
      </w:r>
      <w:r w:rsidR="00BF0AFA">
        <w:rPr>
          <w:lang w:val="en-US"/>
        </w:rPr>
        <w:t>financial intermediaries</w:t>
      </w:r>
      <w:r w:rsidR="00BE023E">
        <w:rPr>
          <w:lang w:val="en-US"/>
        </w:rPr>
        <w:t xml:space="preserve"> </w:t>
      </w:r>
      <w:r w:rsidR="00BE023E">
        <w:rPr>
          <w:lang w:val="en-US"/>
        </w:rPr>
        <w:fldChar w:fldCharType="begin"/>
      </w:r>
      <w:r w:rsidR="00BE023E">
        <w:rPr>
          <w:lang w:val="en-US"/>
        </w:rPr>
        <w:instrText xml:space="preserve"> ADDIN ZOTERO_ITEM CSL_CITATION {"citationID":"68jt4f7di","properties":{"formattedCitation":"(Ball, 2002)","plainCitation":"(Ball, 2002)"},"citationItems":[{"id":1200,"uris":["http://zotero.org/users/1731541/items/WH6XAEP9"],"uri":["http://zotero.org/users/1731541/items/WH6XAEP9"],"itemData":{"id":1200,"type":"article-journal","title":"Cultural explanation of regional property markets: a critique","container-title":"Urban Studies","page":"1453-1469","volume":"39","note":"8","shortTitle":"Cultural explanation of regional property markets: a critique","author":[{"family":"Ball","given":"M."}],"issued":{"date-parts":[["2002"]]}}}],"schema":"https://github.com/citation-style-language/schema/raw/master/csl-citation.json"} </w:instrText>
      </w:r>
      <w:r w:rsidR="00BE023E">
        <w:rPr>
          <w:lang w:val="en-US"/>
        </w:rPr>
        <w:fldChar w:fldCharType="separate"/>
      </w:r>
      <w:r w:rsidR="00BE023E">
        <w:rPr>
          <w:noProof/>
          <w:lang w:val="en-US"/>
        </w:rPr>
        <w:t>(Ball, 2002)</w:t>
      </w:r>
      <w:r w:rsidR="00BE023E">
        <w:rPr>
          <w:lang w:val="en-US"/>
        </w:rPr>
        <w:fldChar w:fldCharType="end"/>
      </w:r>
      <w:r w:rsidR="00BF0AFA">
        <w:rPr>
          <w:lang w:val="en-US"/>
        </w:rPr>
        <w:t xml:space="preserve">. </w:t>
      </w:r>
      <w:r w:rsidR="009335B5">
        <w:rPr>
          <w:lang w:val="en-US"/>
        </w:rPr>
        <w:t xml:space="preserve">In contrast, heterodox approaches </w:t>
      </w:r>
      <w:r w:rsidR="001668D0">
        <w:rPr>
          <w:lang w:val="en-US"/>
        </w:rPr>
        <w:t xml:space="preserve">like </w:t>
      </w:r>
      <w:r w:rsidR="00BF0AFA">
        <w:rPr>
          <w:lang w:val="en-US"/>
        </w:rPr>
        <w:t>cultural econom</w:t>
      </w:r>
      <w:r w:rsidR="009335B5">
        <w:rPr>
          <w:lang w:val="en-US"/>
        </w:rPr>
        <w:t>ics</w:t>
      </w:r>
      <w:r w:rsidR="00BF0AFA">
        <w:rPr>
          <w:lang w:val="en-US"/>
        </w:rPr>
        <w:t xml:space="preserve">, </w:t>
      </w:r>
      <w:r w:rsidR="009335B5">
        <w:rPr>
          <w:lang w:val="en-US"/>
        </w:rPr>
        <w:t xml:space="preserve">highlight how the ways financial intermediaries invest the monies they raise on capital markets may </w:t>
      </w:r>
      <w:r w:rsidR="00402569">
        <w:rPr>
          <w:lang w:val="en-US"/>
        </w:rPr>
        <w:t xml:space="preserve">be influenced by </w:t>
      </w:r>
      <w:r w:rsidR="001668D0">
        <w:rPr>
          <w:lang w:val="en-US"/>
        </w:rPr>
        <w:t xml:space="preserve">elements </w:t>
      </w:r>
      <w:r w:rsidR="00402569">
        <w:rPr>
          <w:lang w:val="en-US"/>
        </w:rPr>
        <w:t xml:space="preserve">that has to do with their professional culture, their revenue-generating models and the calculative tools they use </w:t>
      </w:r>
      <w:r w:rsidR="00427C00">
        <w:rPr>
          <w:lang w:val="en-US"/>
        </w:rPr>
        <w:fldChar w:fldCharType="begin"/>
      </w:r>
      <w:r w:rsidR="00427C00">
        <w:rPr>
          <w:lang w:val="en-US"/>
        </w:rPr>
        <w:instrText xml:space="preserve"> ADDIN ZOTERO_ITEM CSL_CITATION {"citationID":"2nsv7q91vm","properties":{"formattedCitation":"(Crosby &amp; Henneberry, 2015; Henneberry &amp; Roberts, 2008)","plainCitation":"(Crosby &amp; Henneberry, 2015; Henneberry &amp; Roberts, 2008)"},"citationItems":[{"id":2638,"uris":["http://zotero.org/users/1731541/items/4NE3PNN6"],"uri":["http://zotero.org/users/1731541/items/4NE3PNN6"],"itemData":{"id":2638,"type":"article-journal","title":"Financialisation, the valuation of investment property and the urban built environment in the UK","container-title":"Urban Studies","page":"0042098015583229","source":"usj.sagepub.com","abstract":"The financialisation literature has been criticised for its limited empirical base and its failure adequately to link the everyday world with that of high finance. The paper addresses these shortcomings by examining the calculative practice of property valuation. The way that valuations are performed affects their results and, therefore, the operation of the property market. The paper traces the evolving influence of finance capital on the valuation of commercial property in the UK by constructing a historiography of investment valuation since 1960. Traditional approaches to valuation have been increasingly challenged by those derived from financial economics. However, the former remains the dominant method for undertaking market valuation. Its grounding in comparison – a centring and standardising process – offers an explanation for some of the changes in the urban built environment that are ascribed to financialisation. This suggests that a more detailed and historically sensitive interpretation of financialisation is required.","DOI":"10.1177/0042098015583229","ISSN":"0042-0980, 1360-063X","journalAbbreviation":"Urban Stud","language":"en","author":[{"family":"Crosby","given":"Neil"},{"family":"Henneberry","given":"John"}],"issued":{"date-parts":[["2015",4,29]]}}},{"id":444,"uris":["http://zotero.org/users/1731541/items/BCDZNRGI"],"uri":["http://zotero.org/users/1731541/items/BCDZNRGI"],"itemData":{"id":444,"type":"article-journal","title":"Calculated Inequality? Portfolio Benchmarking and Regional Office Property Investment in the UK","container-title":"Urban Studies","page":"1217-1241","volume":"45","abstract":"The paper explores the reasons for the persistence in the UK of significant relative interregional variations in office property investment in the face of economic theory and empirical evidence that would support its more even spatial distribution. The argument is made from a cultural economy perspective and involves the application to property of a concept drawn from the accountancy literature: calculative practice. UK investment decision-making is distinguished by the primacy attributed to portfolio benchmarking as an influence on investment strategy. The wider logic underpinning property benchmarking is subjected to critical appraisal. Then, evidence is presented that suggests that benchmarking is a self-referential practice which results in convergence and rigidity in fund structures and in the concentration of performance around a bounded range of sub-optimal returns. It is a barrier to the greater geographical diversification of office property investment.","DOI":"10.1177/0042098008089866","note":"5-6","shortTitle":"Calculated Inequality? Portfolio Benchmarking and Regional Office Property Investment in the UK","author":[{"family":"Henneberry","given":"John"},{"family":"Roberts","given":"Claire"}],"issued":{"date-parts":[["2008",5,1]]}}}],"schema":"https://github.com/citation-style-language/schema/raw/master/csl-citation.json"} </w:instrText>
      </w:r>
      <w:r w:rsidR="00427C00">
        <w:rPr>
          <w:lang w:val="en-US"/>
        </w:rPr>
        <w:fldChar w:fldCharType="separate"/>
      </w:r>
      <w:r w:rsidR="00427C00">
        <w:rPr>
          <w:noProof/>
          <w:lang w:val="en-US"/>
        </w:rPr>
        <w:t>(Crosby &amp; Henneberry, 2015; Henneberry &amp; Roberts, 2008)</w:t>
      </w:r>
      <w:r w:rsidR="00427C00">
        <w:rPr>
          <w:lang w:val="en-US"/>
        </w:rPr>
        <w:fldChar w:fldCharType="end"/>
      </w:r>
      <w:r w:rsidR="001668D0">
        <w:rPr>
          <w:lang w:val="en-US"/>
        </w:rPr>
        <w:t xml:space="preserve">. </w:t>
      </w:r>
      <w:r w:rsidR="000C3088">
        <w:rPr>
          <w:lang w:val="en-US"/>
        </w:rPr>
        <w:t xml:space="preserve">Yet, such works that are focusing on financial intermediation as an </w:t>
      </w:r>
      <w:r w:rsidR="000C3088" w:rsidRPr="00210269">
        <w:rPr>
          <w:i/>
          <w:lang w:val="en-US"/>
        </w:rPr>
        <w:t xml:space="preserve">activity </w:t>
      </w:r>
      <w:r w:rsidR="000C3088">
        <w:rPr>
          <w:lang w:val="en-US"/>
        </w:rPr>
        <w:t xml:space="preserve">has so far failed to fully take into account how </w:t>
      </w:r>
      <w:r w:rsidR="00210269">
        <w:rPr>
          <w:lang w:val="en-US"/>
        </w:rPr>
        <w:t xml:space="preserve">investment models are produced and reproduced in </w:t>
      </w:r>
      <w:r w:rsidR="00EF3642">
        <w:rPr>
          <w:lang w:val="en-US"/>
        </w:rPr>
        <w:t>particular geographies. Although the geographic concentration of financial intermediaries in a li</w:t>
      </w:r>
      <w:r w:rsidR="00F15365">
        <w:rPr>
          <w:lang w:val="en-US"/>
        </w:rPr>
        <w:t>mited number of financial centers</w:t>
      </w:r>
      <w:r w:rsidR="00EF3642">
        <w:rPr>
          <w:lang w:val="en-US"/>
        </w:rPr>
        <w:t xml:space="preserve"> is well-known</w:t>
      </w:r>
      <w:r w:rsidR="00FB51BD">
        <w:rPr>
          <w:lang w:val="en-US"/>
        </w:rPr>
        <w:t xml:space="preserve"> </w:t>
      </w:r>
      <w:r w:rsidR="00427C00">
        <w:rPr>
          <w:lang w:val="en-US"/>
        </w:rPr>
        <w:fldChar w:fldCharType="begin"/>
      </w:r>
      <w:r w:rsidR="00FB51BD">
        <w:rPr>
          <w:lang w:val="en-US"/>
        </w:rPr>
        <w:instrText xml:space="preserve"> ADDIN ZOTERO_ITEM CSL_CITATION {"citationID":"lbf7n8p8t","properties":{"formattedCitation":"(Lizieri, 2009)","plainCitation":"(Lizieri, 2009)"},"citationItems":[{"id":213,"uris":["http://zotero.org/users/1731541/items/TGNIUJIE"],"uri":["http://zotero.org/users/1731541/items/TGNIUJIE"],"itemData":{"id":213,"type":"book","title":"Towers of capital: office markets &amp; international financial services","publisher":"Wiley-Blackwell","publisher-place":"Chichester","event-place":"Chichester","shortTitle":"Towers of capital: office markets &amp; international financial services","author":[{"family":"Lizieri","given":"C"}],"issued":{"date-parts":[["2009"]]}}}],"schema":"https://github.com/citation-style-language/schema/raw/master/csl-citation.json"} </w:instrText>
      </w:r>
      <w:r w:rsidR="00427C00">
        <w:rPr>
          <w:lang w:val="en-US"/>
        </w:rPr>
        <w:fldChar w:fldCharType="separate"/>
      </w:r>
      <w:r w:rsidR="00FB51BD">
        <w:rPr>
          <w:noProof/>
          <w:lang w:val="en-US"/>
        </w:rPr>
        <w:t>(Lizieri, 2009)</w:t>
      </w:r>
      <w:r w:rsidR="00427C00">
        <w:rPr>
          <w:lang w:val="en-US"/>
        </w:rPr>
        <w:fldChar w:fldCharType="end"/>
      </w:r>
      <w:r w:rsidR="00EF3642">
        <w:rPr>
          <w:lang w:val="en-US"/>
        </w:rPr>
        <w:t xml:space="preserve">, there is still a need to understand how </w:t>
      </w:r>
      <w:r w:rsidR="00EF3642">
        <w:rPr>
          <w:lang w:val="en-US"/>
        </w:rPr>
        <w:lastRenderedPageBreak/>
        <w:t xml:space="preserve">this geographic proximity is ‘activated’ </w:t>
      </w:r>
      <w:r w:rsidR="00FB51BD">
        <w:rPr>
          <w:lang w:val="en-US"/>
        </w:rPr>
        <w:fldChar w:fldCharType="begin"/>
      </w:r>
      <w:r w:rsidR="00FB51BD">
        <w:rPr>
          <w:lang w:val="en-US"/>
        </w:rPr>
        <w:instrText xml:space="preserve"> ADDIN ZOTERO_ITEM CSL_CITATION {"citationID":"rg908u79i","properties":{"formattedCitation":"(Rallet &amp; Torre, 2005)","plainCitation":"(Rallet &amp; Torre, 2005)"},"citationItems":[{"id":790,"uris":["http://zotero.org/users/1731541/items/KM8I9I3G"],"uri":["http://zotero.org/users/1731541/items/KM8I9I3G"],"itemData":{"id":790,"type":"article-journal","title":"Proximity and localization","container-title":"Regional Studies","page":"47-60","volume":"39","abstract":"The objective of this article is to pave the way for an analysis of the relations between proximity and localization of activities and people. Both notions are often mistaken for one another in contemporary literature, geographical proximity being de facto classified as co-localization. Our method consists in exploiting the semantic wealth of \nthe notion of proximity. (I) We distinguish two types of proximity (geographical proximity and organized proximity) and propose a grid of analysis of the main models of geographic organization of activities by\narticulating both types of proximity. We then introduce the phenomenon of tension between geographical\nproximity and organized proximity in order to discuss problems that are often under-estimated in spatial\neconomy. (II) Firstly, organized proximity offers powerful mechanisms of long-distance coordination which\nconstitute the foundation of the increasing geographic development of socio-economic interactions. The\nconfusion between interactions of information and knowledge exchange and the constraint of being located in\nproximity neglects the fact that the collective rules and representations of organizations do manage, and at a\ndistance, an increasing part of these interactions. (III) We then show that there is a disjunction between the need\nfor geographical proximity and co-localization of actors, by introducing professional mobility and temporary\ngeographical proximity. We also emphasize the ability of big organizations to manage the presence in different\nareas of their units, so as to adapt to the temporal nature of the need for geographical proximity of these units\nwhereas smaller organizations are more constrained by fixed co-localisations which are only needed for certain\nphases of their interactions. (IV) Finally, we raise the often neglected question of the negative effects of\ngeographical proximity normally praised for its relational virtues. In the case of limited support-goods,\ngeographical proximity creates tensions between the actors who use them and tends to damage the local\nrelational fabric. In this case geographical proximity plays against organized proximity. However the negative\nexternalities of geographical proximity can be limited by integrating them within organizations or institutions,\nthat is through a re-composed organized proximity enabling one to solve conflicts and launch processes of\ncooperation or negotiation within ad hoc mechanisms","ISSN":"0034-3404","note":"1","shortTitle":"Proximity and localization","author":[{"family":"Rallet","given":"A"},{"family":"Torre","given":"André"}],"issued":{"date-parts":[["2005"]]}}}],"schema":"https://github.com/citation-style-language/schema/raw/master/csl-citation.json"} </w:instrText>
      </w:r>
      <w:r w:rsidR="00FB51BD">
        <w:rPr>
          <w:lang w:val="en-US"/>
        </w:rPr>
        <w:fldChar w:fldCharType="separate"/>
      </w:r>
      <w:r w:rsidR="00FB51BD">
        <w:rPr>
          <w:noProof/>
          <w:lang w:val="en-US"/>
        </w:rPr>
        <w:t>(Rallet &amp; Torre, 2005)</w:t>
      </w:r>
      <w:r w:rsidR="00FB51BD">
        <w:rPr>
          <w:lang w:val="en-US"/>
        </w:rPr>
        <w:fldChar w:fldCharType="end"/>
      </w:r>
      <w:r w:rsidR="00FB51BD">
        <w:rPr>
          <w:lang w:val="en-US"/>
        </w:rPr>
        <w:t xml:space="preserve"> </w:t>
      </w:r>
      <w:r w:rsidR="00EF3642">
        <w:rPr>
          <w:lang w:val="en-US"/>
        </w:rPr>
        <w:t xml:space="preserve">and with what effects on </w:t>
      </w:r>
      <w:r w:rsidR="00787D32">
        <w:rPr>
          <w:lang w:val="en-US"/>
        </w:rPr>
        <w:t xml:space="preserve">the constitution of shared conventions that </w:t>
      </w:r>
      <w:r w:rsidR="00F15365">
        <w:rPr>
          <w:lang w:val="en-US"/>
        </w:rPr>
        <w:t xml:space="preserve">format </w:t>
      </w:r>
      <w:r w:rsidR="00787D32">
        <w:rPr>
          <w:lang w:val="en-US"/>
        </w:rPr>
        <w:t xml:space="preserve">investments’ </w:t>
      </w:r>
      <w:r w:rsidR="00EF3642">
        <w:rPr>
          <w:lang w:val="en-US"/>
        </w:rPr>
        <w:t>standards.</w:t>
      </w:r>
    </w:p>
    <w:p w14:paraId="690BA21B" w14:textId="77777777" w:rsidR="009E7A2B" w:rsidRDefault="00787D32" w:rsidP="00035D52">
      <w:pPr>
        <w:spacing w:line="240" w:lineRule="auto"/>
        <w:rPr>
          <w:lang w:val="en-US"/>
        </w:rPr>
      </w:pPr>
      <w:r>
        <w:rPr>
          <w:lang w:val="en-US"/>
        </w:rPr>
        <w:t xml:space="preserve">The present research adopts a territorial economy </w:t>
      </w:r>
      <w:r w:rsidR="00DC5859">
        <w:rPr>
          <w:lang w:val="en-US"/>
        </w:rPr>
        <w:t xml:space="preserve">perspective to look at how these conventions develop in the case of the French commercial real estate market. It relies on a </w:t>
      </w:r>
      <w:r w:rsidR="0088598A">
        <w:rPr>
          <w:lang w:val="en-US"/>
        </w:rPr>
        <w:t>5</w:t>
      </w:r>
      <w:r w:rsidR="00ED3D62">
        <w:rPr>
          <w:lang w:val="en-US"/>
        </w:rPr>
        <w:t>-</w:t>
      </w:r>
      <w:r w:rsidR="0088598A">
        <w:rPr>
          <w:lang w:val="en-US"/>
        </w:rPr>
        <w:t xml:space="preserve">year long research developed since </w:t>
      </w:r>
      <w:proofErr w:type="gramStart"/>
      <w:r w:rsidR="0088598A">
        <w:rPr>
          <w:lang w:val="en-US"/>
        </w:rPr>
        <w:t>2010 which</w:t>
      </w:r>
      <w:proofErr w:type="gramEnd"/>
      <w:r w:rsidR="0088598A">
        <w:rPr>
          <w:lang w:val="en-US"/>
        </w:rPr>
        <w:t xml:space="preserve"> </w:t>
      </w:r>
      <w:r w:rsidR="00BD62D7">
        <w:rPr>
          <w:lang w:val="en-US"/>
        </w:rPr>
        <w:t xml:space="preserve">studies </w:t>
      </w:r>
      <w:r w:rsidR="0088598A">
        <w:rPr>
          <w:lang w:val="en-US"/>
        </w:rPr>
        <w:t xml:space="preserve">the investment practices of financial intermediaries. </w:t>
      </w:r>
      <w:r w:rsidR="00D0438E">
        <w:rPr>
          <w:lang w:val="en-US"/>
        </w:rPr>
        <w:t xml:space="preserve">Starting with </w:t>
      </w:r>
      <w:r w:rsidR="0088598A">
        <w:rPr>
          <w:lang w:val="en-US"/>
        </w:rPr>
        <w:t>a quantitative mapping of investors portfolios</w:t>
      </w:r>
      <w:r w:rsidR="00D0438E">
        <w:rPr>
          <w:lang w:val="en-US"/>
        </w:rPr>
        <w:t xml:space="preserve">, it analysis a series of around 100 semi-directive interviews with investment managers located in the Paris city-region. </w:t>
      </w:r>
    </w:p>
    <w:p w14:paraId="7E56C3FD" w14:textId="77777777" w:rsidR="008C3040" w:rsidRDefault="009E7A2B" w:rsidP="00C06D22">
      <w:pPr>
        <w:spacing w:line="240" w:lineRule="auto"/>
        <w:rPr>
          <w:lang w:val="en-US"/>
        </w:rPr>
      </w:pPr>
      <w:r>
        <w:rPr>
          <w:lang w:val="en-US"/>
        </w:rPr>
        <w:t xml:space="preserve">This allows us to first expose the </w:t>
      </w:r>
      <w:r w:rsidR="0053549B">
        <w:rPr>
          <w:lang w:val="en-US"/>
        </w:rPr>
        <w:t xml:space="preserve">main </w:t>
      </w:r>
      <w:r>
        <w:rPr>
          <w:lang w:val="en-US"/>
        </w:rPr>
        <w:t xml:space="preserve">features </w:t>
      </w:r>
      <w:r w:rsidR="0053549B">
        <w:rPr>
          <w:lang w:val="en-US"/>
        </w:rPr>
        <w:t xml:space="preserve">of these investment standards, and </w:t>
      </w:r>
      <w:r>
        <w:rPr>
          <w:lang w:val="en-US"/>
        </w:rPr>
        <w:t xml:space="preserve">to demonstrate their relative flexibility over time. Furthermore, and more importantly, it </w:t>
      </w:r>
      <w:r w:rsidR="00BD1CFE">
        <w:rPr>
          <w:lang w:val="en-US"/>
        </w:rPr>
        <w:t xml:space="preserve">reveals how these conventions over investments are embedded in a </w:t>
      </w:r>
      <w:r w:rsidR="00ED3D62">
        <w:rPr>
          <w:lang w:val="en-US"/>
        </w:rPr>
        <w:t xml:space="preserve">fairly </w:t>
      </w:r>
      <w:r w:rsidR="00BD1CFE">
        <w:rPr>
          <w:lang w:val="en-US"/>
        </w:rPr>
        <w:t xml:space="preserve">small professional community </w:t>
      </w:r>
      <w:r w:rsidR="001B2EDD">
        <w:rPr>
          <w:lang w:val="en-US"/>
        </w:rPr>
        <w:t xml:space="preserve">whose </w:t>
      </w:r>
      <w:r w:rsidR="00BD1CFE">
        <w:rPr>
          <w:lang w:val="en-US"/>
        </w:rPr>
        <w:t xml:space="preserve">coordination </w:t>
      </w:r>
      <w:r w:rsidR="00406AB4">
        <w:rPr>
          <w:lang w:val="en-US"/>
        </w:rPr>
        <w:t xml:space="preserve">combine various </w:t>
      </w:r>
      <w:r w:rsidR="001B2EDD">
        <w:rPr>
          <w:lang w:val="en-US"/>
        </w:rPr>
        <w:t xml:space="preserve">forms </w:t>
      </w:r>
      <w:r w:rsidR="00BD1CFE">
        <w:rPr>
          <w:lang w:val="en-US"/>
        </w:rPr>
        <w:t xml:space="preserve">(market, organization, </w:t>
      </w:r>
      <w:r w:rsidR="00954038">
        <w:rPr>
          <w:lang w:val="en-US"/>
        </w:rPr>
        <w:t xml:space="preserve">social networks, </w:t>
      </w:r>
      <w:r w:rsidR="00BD1CFE">
        <w:rPr>
          <w:lang w:val="en-US"/>
        </w:rPr>
        <w:t>epistemic</w:t>
      </w:r>
      <w:r w:rsidR="00ED3D62">
        <w:rPr>
          <w:lang w:val="en-US"/>
        </w:rPr>
        <w:t xml:space="preserve"> community) </w:t>
      </w:r>
      <w:r w:rsidR="001B2EDD">
        <w:rPr>
          <w:lang w:val="en-US"/>
        </w:rPr>
        <w:t xml:space="preserve">and occurs in </w:t>
      </w:r>
      <w:r w:rsidR="00954038">
        <w:rPr>
          <w:lang w:val="en-US"/>
        </w:rPr>
        <w:t>particular spaces (</w:t>
      </w:r>
      <w:r w:rsidR="00FB64B4">
        <w:rPr>
          <w:lang w:val="en-US"/>
        </w:rPr>
        <w:t>the Paris CBD, international investment fairs, several specialized higher education degrees, dedicated journals)</w:t>
      </w:r>
      <w:r w:rsidR="007B5F85">
        <w:rPr>
          <w:lang w:val="en-US"/>
        </w:rPr>
        <w:t xml:space="preserve">. </w:t>
      </w:r>
      <w:r w:rsidR="00FB64B4">
        <w:rPr>
          <w:lang w:val="en-US"/>
        </w:rPr>
        <w:t xml:space="preserve">Lastly, the paper </w:t>
      </w:r>
      <w:r w:rsidR="00ED3D62">
        <w:rPr>
          <w:lang w:val="en-US"/>
        </w:rPr>
        <w:t xml:space="preserve">demonstrates that </w:t>
      </w:r>
      <w:r w:rsidR="007B5F85">
        <w:rPr>
          <w:lang w:val="en-US"/>
        </w:rPr>
        <w:t xml:space="preserve">the investment standards </w:t>
      </w:r>
      <w:r w:rsidR="00ED3D62">
        <w:rPr>
          <w:lang w:val="en-US"/>
        </w:rPr>
        <w:t xml:space="preserve">followed by this professional community </w:t>
      </w:r>
      <w:r w:rsidR="00C06D22">
        <w:rPr>
          <w:lang w:val="en-US"/>
        </w:rPr>
        <w:t xml:space="preserve">reflect a metropolitan bias that directly echoes that of </w:t>
      </w:r>
      <w:r w:rsidR="00CF7468">
        <w:rPr>
          <w:lang w:val="en-US"/>
        </w:rPr>
        <w:t xml:space="preserve">the location of </w:t>
      </w:r>
      <w:r w:rsidR="00C06D22">
        <w:rPr>
          <w:lang w:val="en-US"/>
        </w:rPr>
        <w:t xml:space="preserve">the real estate investment financial </w:t>
      </w:r>
      <w:r w:rsidR="00C06D22" w:rsidRPr="00C06D22">
        <w:rPr>
          <w:i/>
          <w:lang w:val="en-US"/>
        </w:rPr>
        <w:t>milieu</w:t>
      </w:r>
      <w:r w:rsidR="00CF7468">
        <w:rPr>
          <w:lang w:val="en-US"/>
        </w:rPr>
        <w:t xml:space="preserve"> itself</w:t>
      </w:r>
      <w:r w:rsidR="00ED3D62">
        <w:rPr>
          <w:lang w:val="en-US"/>
        </w:rPr>
        <w:t xml:space="preserve">. </w:t>
      </w:r>
      <w:r w:rsidR="00EB145A">
        <w:rPr>
          <w:lang w:val="en-US"/>
        </w:rPr>
        <w:t xml:space="preserve">This has </w:t>
      </w:r>
      <w:r w:rsidR="007E5B57">
        <w:rPr>
          <w:lang w:val="en-US"/>
        </w:rPr>
        <w:t xml:space="preserve">direct </w:t>
      </w:r>
      <w:r w:rsidR="00EB145A">
        <w:rPr>
          <w:lang w:val="en-US"/>
        </w:rPr>
        <w:t xml:space="preserve">consequences on the geographies of commercial real estate since investors’ </w:t>
      </w:r>
      <w:r w:rsidR="007E5B57">
        <w:rPr>
          <w:lang w:val="en-US"/>
        </w:rPr>
        <w:t>are</w:t>
      </w:r>
      <w:r w:rsidR="00EB145A">
        <w:rPr>
          <w:lang w:val="en-US"/>
        </w:rPr>
        <w:t xml:space="preserve"> </w:t>
      </w:r>
      <w:r w:rsidR="007E5B57">
        <w:rPr>
          <w:lang w:val="en-US"/>
        </w:rPr>
        <w:t xml:space="preserve">adopting highly selective practices regarding </w:t>
      </w:r>
      <w:r w:rsidR="008C3040">
        <w:rPr>
          <w:lang w:val="en-US"/>
        </w:rPr>
        <w:t xml:space="preserve">both </w:t>
      </w:r>
      <w:r w:rsidR="007E5B57">
        <w:rPr>
          <w:lang w:val="en-US"/>
        </w:rPr>
        <w:t>the location of their investments</w:t>
      </w:r>
      <w:r w:rsidR="008C3040">
        <w:rPr>
          <w:lang w:val="en-US"/>
        </w:rPr>
        <w:t xml:space="preserve"> and </w:t>
      </w:r>
      <w:r w:rsidR="007E5B57">
        <w:rPr>
          <w:lang w:val="en-US"/>
        </w:rPr>
        <w:t xml:space="preserve">the typology of built assets and </w:t>
      </w:r>
      <w:r w:rsidR="008C3040">
        <w:rPr>
          <w:lang w:val="en-US"/>
        </w:rPr>
        <w:t xml:space="preserve">their </w:t>
      </w:r>
      <w:r w:rsidR="007E5B57">
        <w:rPr>
          <w:lang w:val="en-US"/>
        </w:rPr>
        <w:t xml:space="preserve">tenants. </w:t>
      </w:r>
    </w:p>
    <w:p w14:paraId="61A9CD79" w14:textId="67A4542C" w:rsidR="00CF7468" w:rsidRDefault="007E5B57" w:rsidP="00C06D22">
      <w:pPr>
        <w:spacing w:line="240" w:lineRule="auto"/>
        <w:rPr>
          <w:lang w:val="en-US"/>
        </w:rPr>
      </w:pPr>
      <w:r>
        <w:rPr>
          <w:lang w:val="en-US"/>
        </w:rPr>
        <w:t>The paper thus provide</w:t>
      </w:r>
      <w:r w:rsidR="008C3040">
        <w:rPr>
          <w:lang w:val="en-US"/>
        </w:rPr>
        <w:t>s</w:t>
      </w:r>
      <w:r>
        <w:rPr>
          <w:lang w:val="en-US"/>
        </w:rPr>
        <w:t xml:space="preserve"> a fruitful complement to works looking at how the political economy of urban production, and its planning, is reassessed in </w:t>
      </w:r>
      <w:r w:rsidR="008C3040">
        <w:rPr>
          <w:lang w:val="en-US"/>
        </w:rPr>
        <w:t xml:space="preserve">a </w:t>
      </w:r>
      <w:r>
        <w:rPr>
          <w:lang w:val="en-US"/>
        </w:rPr>
        <w:t>late stage financialized capitalism</w:t>
      </w:r>
      <w:r w:rsidR="008C3040">
        <w:rPr>
          <w:lang w:val="en-US"/>
        </w:rPr>
        <w:t xml:space="preserve"> where </w:t>
      </w:r>
      <w:r>
        <w:rPr>
          <w:lang w:val="en-US"/>
        </w:rPr>
        <w:t>the financing of the urban built environment is increasingly done through capital markets</w:t>
      </w:r>
      <w:r w:rsidR="005F2D97">
        <w:rPr>
          <w:lang w:val="en-US"/>
        </w:rPr>
        <w:t xml:space="preserve"> (see </w:t>
      </w:r>
      <w:proofErr w:type="spellStart"/>
      <w:r w:rsidR="005F2D97">
        <w:rPr>
          <w:lang w:val="en-US"/>
        </w:rPr>
        <w:t>Attuyer</w:t>
      </w:r>
      <w:proofErr w:type="spellEnd"/>
      <w:r w:rsidR="005F2D97">
        <w:rPr>
          <w:lang w:val="en-US"/>
        </w:rPr>
        <w:t xml:space="preserve"> and Halbert, forthcoming)</w:t>
      </w:r>
      <w:r w:rsidR="008C3040">
        <w:rPr>
          <w:lang w:val="en-US"/>
        </w:rPr>
        <w:t xml:space="preserve">. The research demonstrates </w:t>
      </w:r>
      <w:r w:rsidR="00142A67">
        <w:rPr>
          <w:lang w:val="en-US"/>
        </w:rPr>
        <w:t xml:space="preserve">that financial intermediaries’ investment standards may be best understood as the </w:t>
      </w:r>
      <w:r w:rsidR="005F2D97">
        <w:rPr>
          <w:lang w:val="en-US"/>
        </w:rPr>
        <w:t xml:space="preserve">outputs </w:t>
      </w:r>
      <w:r w:rsidR="00142A67">
        <w:rPr>
          <w:lang w:val="en-US"/>
        </w:rPr>
        <w:t xml:space="preserve">of a geographically situated </w:t>
      </w:r>
      <w:r w:rsidR="00142A67" w:rsidRPr="00142A67">
        <w:rPr>
          <w:i/>
          <w:lang w:val="en-US"/>
        </w:rPr>
        <w:t>milieu</w:t>
      </w:r>
      <w:r w:rsidR="00142A67">
        <w:rPr>
          <w:lang w:val="en-US"/>
        </w:rPr>
        <w:t xml:space="preserve"> </w:t>
      </w:r>
      <w:r w:rsidR="00406AB4">
        <w:rPr>
          <w:lang w:val="en-US"/>
        </w:rPr>
        <w:t xml:space="preserve">that centers economy and cities around </w:t>
      </w:r>
      <w:r w:rsidR="00AD0467">
        <w:rPr>
          <w:lang w:val="en-US"/>
        </w:rPr>
        <w:t xml:space="preserve">the features of </w:t>
      </w:r>
      <w:r w:rsidR="00406AB4">
        <w:rPr>
          <w:lang w:val="en-US"/>
        </w:rPr>
        <w:t>its own industry</w:t>
      </w:r>
      <w:r>
        <w:rPr>
          <w:lang w:val="en-US"/>
        </w:rPr>
        <w:t xml:space="preserve">. </w:t>
      </w:r>
      <w:r w:rsidR="00B544E7">
        <w:rPr>
          <w:lang w:val="en-US"/>
        </w:rPr>
        <w:t xml:space="preserve"> </w:t>
      </w:r>
      <w:r w:rsidR="00C51FD4">
        <w:rPr>
          <w:lang w:val="en-US"/>
        </w:rPr>
        <w:t xml:space="preserve"> </w:t>
      </w:r>
    </w:p>
    <w:p w14:paraId="4A3C91DE" w14:textId="77777777" w:rsidR="00D0438E" w:rsidRDefault="00C06D22" w:rsidP="00C06D22">
      <w:pPr>
        <w:spacing w:line="240" w:lineRule="auto"/>
        <w:rPr>
          <w:lang w:val="en-US"/>
        </w:rPr>
      </w:pPr>
      <w:r>
        <w:rPr>
          <w:lang w:val="en-US"/>
        </w:rPr>
        <w:t xml:space="preserve"> </w:t>
      </w:r>
    </w:p>
    <w:p w14:paraId="1172F170" w14:textId="352F0CFB" w:rsidR="007146E7" w:rsidRDefault="007146E7" w:rsidP="00C06D22">
      <w:pPr>
        <w:spacing w:line="240" w:lineRule="auto"/>
        <w:rPr>
          <w:lang w:val="en-US"/>
        </w:rPr>
      </w:pPr>
      <w:r>
        <w:rPr>
          <w:lang w:val="en-US"/>
        </w:rPr>
        <w:t>References:</w:t>
      </w:r>
    </w:p>
    <w:p w14:paraId="3C8235E0" w14:textId="5FE65918" w:rsidR="007146E7" w:rsidRPr="007146E7" w:rsidRDefault="007146E7" w:rsidP="007146E7">
      <w:pPr>
        <w:pStyle w:val="Bibliography"/>
        <w:rPr>
          <w:rFonts w:cs="Times New Roman"/>
          <w:lang w:val="en-US"/>
        </w:rPr>
      </w:pPr>
      <w:proofErr w:type="spellStart"/>
      <w:proofErr w:type="gramStart"/>
      <w:r>
        <w:rPr>
          <w:rFonts w:cs="Times New Roman"/>
          <w:lang w:val="en-US"/>
        </w:rPr>
        <w:t>Attuyer</w:t>
      </w:r>
      <w:proofErr w:type="spellEnd"/>
      <w:r w:rsidRPr="007146E7">
        <w:rPr>
          <w:rFonts w:cs="Times New Roman"/>
          <w:lang w:val="en-US"/>
        </w:rPr>
        <w:t xml:space="preserve">, </w:t>
      </w:r>
      <w:r>
        <w:rPr>
          <w:rFonts w:cs="Times New Roman"/>
          <w:lang w:val="en-US"/>
        </w:rPr>
        <w:t>K</w:t>
      </w:r>
      <w:r w:rsidRPr="007146E7">
        <w:rPr>
          <w:rFonts w:cs="Times New Roman"/>
          <w:lang w:val="en-US"/>
        </w:rPr>
        <w:t>.</w:t>
      </w:r>
      <w:r>
        <w:rPr>
          <w:rFonts w:cs="Times New Roman"/>
          <w:lang w:val="en-US"/>
        </w:rPr>
        <w:t>, &amp; Halbert, L.</w:t>
      </w:r>
      <w:r w:rsidRPr="007146E7">
        <w:rPr>
          <w:rFonts w:cs="Times New Roman"/>
          <w:lang w:val="en-US"/>
        </w:rPr>
        <w:t xml:space="preserve"> (</w:t>
      </w:r>
      <w:r>
        <w:rPr>
          <w:rFonts w:cs="Times New Roman"/>
          <w:lang w:val="en-US"/>
        </w:rPr>
        <w:t>forthcoming</w:t>
      </w:r>
      <w:r w:rsidRPr="007146E7">
        <w:rPr>
          <w:rFonts w:cs="Times New Roman"/>
          <w:lang w:val="en-US"/>
        </w:rPr>
        <w:t>).</w:t>
      </w:r>
      <w:proofErr w:type="gramEnd"/>
      <w:r w:rsidRPr="007146E7">
        <w:rPr>
          <w:rFonts w:cs="Times New Roman"/>
          <w:lang w:val="en-US"/>
        </w:rPr>
        <w:t xml:space="preserve"> </w:t>
      </w:r>
      <w:proofErr w:type="gramStart"/>
      <w:r>
        <w:rPr>
          <w:rFonts w:cs="Times New Roman"/>
          <w:lang w:val="en-US"/>
        </w:rPr>
        <w:t>The financialization of urban production.</w:t>
      </w:r>
      <w:proofErr w:type="gramEnd"/>
      <w:r>
        <w:rPr>
          <w:rFonts w:cs="Times New Roman"/>
          <w:lang w:val="en-US"/>
        </w:rPr>
        <w:t xml:space="preserve"> </w:t>
      </w:r>
      <w:proofErr w:type="gramStart"/>
      <w:r>
        <w:rPr>
          <w:rFonts w:cs="Times New Roman"/>
          <w:lang w:val="en-US"/>
        </w:rPr>
        <w:t>Introduction to the Special Issue</w:t>
      </w:r>
      <w:r w:rsidRPr="007146E7">
        <w:rPr>
          <w:rFonts w:cs="Times New Roman"/>
          <w:lang w:val="en-US"/>
        </w:rPr>
        <w:t>.</w:t>
      </w:r>
      <w:proofErr w:type="gramEnd"/>
      <w:r w:rsidRPr="007146E7">
        <w:rPr>
          <w:rFonts w:cs="Times New Roman"/>
          <w:lang w:val="en-US"/>
        </w:rPr>
        <w:t xml:space="preserve"> </w:t>
      </w:r>
      <w:r w:rsidRPr="007146E7">
        <w:rPr>
          <w:rFonts w:cs="Times New Roman"/>
          <w:i/>
          <w:iCs/>
          <w:lang w:val="en-US"/>
        </w:rPr>
        <w:t>Urban Studies</w:t>
      </w:r>
      <w:r w:rsidRPr="007146E7">
        <w:rPr>
          <w:rFonts w:cs="Times New Roman"/>
          <w:lang w:val="en-US"/>
        </w:rPr>
        <w:t>.</w:t>
      </w:r>
    </w:p>
    <w:p w14:paraId="61BC6E49" w14:textId="77777777" w:rsidR="007146E7" w:rsidRPr="007146E7" w:rsidRDefault="007146E7" w:rsidP="007146E7">
      <w:pPr>
        <w:pStyle w:val="Bibliography"/>
        <w:rPr>
          <w:rFonts w:cs="Times New Roman"/>
          <w:lang w:val="en-US"/>
        </w:rPr>
      </w:pPr>
      <w:r>
        <w:rPr>
          <w:lang w:val="en-US"/>
        </w:rPr>
        <w:fldChar w:fldCharType="begin"/>
      </w:r>
      <w:r>
        <w:rPr>
          <w:lang w:val="en-US"/>
        </w:rPr>
        <w:instrText xml:space="preserve"> ADDIN ZOTERO_BIBL {"custom":[]} CSL_BIBLIOGRAPHY </w:instrText>
      </w:r>
      <w:r>
        <w:rPr>
          <w:lang w:val="en-US"/>
        </w:rPr>
        <w:fldChar w:fldCharType="separate"/>
      </w:r>
      <w:r w:rsidRPr="007146E7">
        <w:rPr>
          <w:rFonts w:cs="Times New Roman"/>
          <w:lang w:val="en-US"/>
        </w:rPr>
        <w:t xml:space="preserve">Ball, M. (2002). Cultural explanation of regional property markets: a critique. </w:t>
      </w:r>
      <w:r w:rsidRPr="007146E7">
        <w:rPr>
          <w:rFonts w:cs="Times New Roman"/>
          <w:i/>
          <w:iCs/>
          <w:lang w:val="en-US"/>
        </w:rPr>
        <w:t>Urban Studies</w:t>
      </w:r>
      <w:r w:rsidRPr="007146E7">
        <w:rPr>
          <w:rFonts w:cs="Times New Roman"/>
          <w:lang w:val="en-US"/>
        </w:rPr>
        <w:t xml:space="preserve">, </w:t>
      </w:r>
      <w:r w:rsidRPr="007146E7">
        <w:rPr>
          <w:rFonts w:cs="Times New Roman"/>
          <w:i/>
          <w:iCs/>
          <w:lang w:val="en-US"/>
        </w:rPr>
        <w:t>39</w:t>
      </w:r>
      <w:r w:rsidRPr="007146E7">
        <w:rPr>
          <w:rFonts w:cs="Times New Roman"/>
          <w:lang w:val="en-US"/>
        </w:rPr>
        <w:t>, pp. 1453–1469.</w:t>
      </w:r>
    </w:p>
    <w:p w14:paraId="14DFD9FD" w14:textId="77777777" w:rsidR="007146E7" w:rsidRPr="007146E7" w:rsidRDefault="007146E7" w:rsidP="007146E7">
      <w:pPr>
        <w:pStyle w:val="Bibliography"/>
        <w:rPr>
          <w:rFonts w:cs="Times New Roman"/>
          <w:lang w:val="en-US"/>
        </w:rPr>
      </w:pPr>
      <w:proofErr w:type="spellStart"/>
      <w:r w:rsidRPr="007146E7">
        <w:rPr>
          <w:rFonts w:cs="Times New Roman"/>
          <w:lang w:val="en-US"/>
        </w:rPr>
        <w:t>Charnock</w:t>
      </w:r>
      <w:proofErr w:type="spellEnd"/>
      <w:r w:rsidRPr="007146E7">
        <w:rPr>
          <w:rFonts w:cs="Times New Roman"/>
          <w:lang w:val="en-US"/>
        </w:rPr>
        <w:t>, G., Purcell, T. F., &amp; Ribera-</w:t>
      </w:r>
      <w:proofErr w:type="spellStart"/>
      <w:r w:rsidRPr="007146E7">
        <w:rPr>
          <w:rFonts w:cs="Times New Roman"/>
          <w:lang w:val="en-US"/>
        </w:rPr>
        <w:t>Fumaz</w:t>
      </w:r>
      <w:proofErr w:type="spellEnd"/>
      <w:r w:rsidRPr="007146E7">
        <w:rPr>
          <w:rFonts w:cs="Times New Roman"/>
          <w:lang w:val="en-US"/>
        </w:rPr>
        <w:t xml:space="preserve">, R. (2014). City of Rents: The limits to the Barcelona model of urban competitiveness. </w:t>
      </w:r>
      <w:r w:rsidRPr="007146E7">
        <w:rPr>
          <w:rFonts w:cs="Times New Roman"/>
          <w:i/>
          <w:iCs/>
          <w:lang w:val="en-US"/>
        </w:rPr>
        <w:t>International Journal of Urban and Regional Research</w:t>
      </w:r>
      <w:r w:rsidRPr="007146E7">
        <w:rPr>
          <w:rFonts w:cs="Times New Roman"/>
          <w:lang w:val="en-US"/>
        </w:rPr>
        <w:t xml:space="preserve">, </w:t>
      </w:r>
      <w:r w:rsidRPr="007146E7">
        <w:rPr>
          <w:rFonts w:cs="Times New Roman"/>
          <w:i/>
          <w:iCs/>
          <w:lang w:val="en-US"/>
        </w:rPr>
        <w:t>38</w:t>
      </w:r>
      <w:r w:rsidRPr="007146E7">
        <w:rPr>
          <w:rFonts w:cs="Times New Roman"/>
          <w:lang w:val="en-US"/>
        </w:rPr>
        <w:t>(1), pp. 198–217.</w:t>
      </w:r>
    </w:p>
    <w:p w14:paraId="6ABA6EDD" w14:textId="77777777" w:rsidR="007146E7" w:rsidRPr="007146E7" w:rsidRDefault="007146E7" w:rsidP="007146E7">
      <w:pPr>
        <w:pStyle w:val="Bibliography"/>
        <w:rPr>
          <w:rFonts w:cs="Times New Roman"/>
          <w:lang w:val="en-US"/>
        </w:rPr>
      </w:pPr>
      <w:r w:rsidRPr="007146E7">
        <w:rPr>
          <w:rFonts w:cs="Times New Roman"/>
          <w:lang w:val="en-US"/>
        </w:rPr>
        <w:t xml:space="preserve">Crosby, N., &amp; </w:t>
      </w:r>
      <w:proofErr w:type="spellStart"/>
      <w:r w:rsidRPr="007146E7">
        <w:rPr>
          <w:rFonts w:cs="Times New Roman"/>
          <w:lang w:val="en-US"/>
        </w:rPr>
        <w:t>Henneberry</w:t>
      </w:r>
      <w:proofErr w:type="spellEnd"/>
      <w:r w:rsidRPr="007146E7">
        <w:rPr>
          <w:rFonts w:cs="Times New Roman"/>
          <w:lang w:val="en-US"/>
        </w:rPr>
        <w:t xml:space="preserve">, J. (2015). </w:t>
      </w:r>
      <w:proofErr w:type="spellStart"/>
      <w:r w:rsidRPr="007146E7">
        <w:rPr>
          <w:rFonts w:cs="Times New Roman"/>
          <w:lang w:val="en-US"/>
        </w:rPr>
        <w:t>Financialisation</w:t>
      </w:r>
      <w:proofErr w:type="spellEnd"/>
      <w:r w:rsidRPr="007146E7">
        <w:rPr>
          <w:rFonts w:cs="Times New Roman"/>
          <w:lang w:val="en-US"/>
        </w:rPr>
        <w:t xml:space="preserve">, the valuation of investment property and the urban built environment in the UK. </w:t>
      </w:r>
      <w:r w:rsidRPr="007146E7">
        <w:rPr>
          <w:rFonts w:cs="Times New Roman"/>
          <w:i/>
          <w:iCs/>
          <w:lang w:val="en-US"/>
        </w:rPr>
        <w:t>Urban Studies</w:t>
      </w:r>
      <w:r w:rsidRPr="007146E7">
        <w:rPr>
          <w:rFonts w:cs="Times New Roman"/>
          <w:lang w:val="en-US"/>
        </w:rPr>
        <w:t>, p. 0042098015583229.</w:t>
      </w:r>
    </w:p>
    <w:p w14:paraId="0D3BF7B8" w14:textId="77777777" w:rsidR="007146E7" w:rsidRPr="007146E7" w:rsidRDefault="007146E7" w:rsidP="007146E7">
      <w:pPr>
        <w:pStyle w:val="Bibliography"/>
        <w:rPr>
          <w:rFonts w:cs="Times New Roman"/>
          <w:lang w:val="en-US"/>
        </w:rPr>
      </w:pPr>
      <w:r w:rsidRPr="007146E7">
        <w:rPr>
          <w:rFonts w:cs="Times New Roman"/>
          <w:lang w:val="en-US"/>
        </w:rPr>
        <w:t xml:space="preserve">David, L., &amp; Halbert, L. (2014). Finance Capital, Actor-Network Theory and the Struggle Over Calculative Agencies in the Business Property Markets of Mexico City Metropolitan Region. </w:t>
      </w:r>
      <w:r w:rsidRPr="007146E7">
        <w:rPr>
          <w:rFonts w:cs="Times New Roman"/>
          <w:i/>
          <w:iCs/>
          <w:lang w:val="en-US"/>
        </w:rPr>
        <w:t>Regional Studies</w:t>
      </w:r>
      <w:r w:rsidRPr="007146E7">
        <w:rPr>
          <w:rFonts w:cs="Times New Roman"/>
          <w:lang w:val="en-US"/>
        </w:rPr>
        <w:t xml:space="preserve">, </w:t>
      </w:r>
      <w:r w:rsidRPr="007146E7">
        <w:rPr>
          <w:rFonts w:cs="Times New Roman"/>
          <w:i/>
          <w:iCs/>
          <w:lang w:val="en-US"/>
        </w:rPr>
        <w:t>48</w:t>
      </w:r>
      <w:r w:rsidRPr="007146E7">
        <w:rPr>
          <w:rFonts w:cs="Times New Roman"/>
          <w:lang w:val="en-US"/>
        </w:rPr>
        <w:t>(3), pp. 516–529.</w:t>
      </w:r>
    </w:p>
    <w:p w14:paraId="509B02BE" w14:textId="77777777" w:rsidR="007146E7" w:rsidRPr="007146E7" w:rsidRDefault="007146E7" w:rsidP="007146E7">
      <w:pPr>
        <w:pStyle w:val="Bibliography"/>
        <w:rPr>
          <w:rFonts w:cs="Times New Roman"/>
          <w:lang w:val="en-US"/>
        </w:rPr>
      </w:pPr>
      <w:proofErr w:type="spellStart"/>
      <w:r w:rsidRPr="007146E7">
        <w:rPr>
          <w:rFonts w:cs="Times New Roman"/>
          <w:lang w:val="en-US"/>
        </w:rPr>
        <w:t>Froud</w:t>
      </w:r>
      <w:proofErr w:type="spellEnd"/>
      <w:r w:rsidRPr="007146E7">
        <w:rPr>
          <w:rFonts w:cs="Times New Roman"/>
          <w:lang w:val="en-US"/>
        </w:rPr>
        <w:t xml:space="preserve">, J., </w:t>
      </w:r>
      <w:proofErr w:type="spellStart"/>
      <w:r w:rsidRPr="007146E7">
        <w:rPr>
          <w:rFonts w:cs="Times New Roman"/>
          <w:lang w:val="en-US"/>
        </w:rPr>
        <w:t>Johal</w:t>
      </w:r>
      <w:proofErr w:type="spellEnd"/>
      <w:r w:rsidRPr="007146E7">
        <w:rPr>
          <w:rFonts w:cs="Times New Roman"/>
          <w:lang w:val="en-US"/>
        </w:rPr>
        <w:t xml:space="preserve">, S., &amp; Williams, K. (2002). </w:t>
      </w:r>
      <w:proofErr w:type="spellStart"/>
      <w:proofErr w:type="gramStart"/>
      <w:r w:rsidRPr="007146E7">
        <w:rPr>
          <w:rFonts w:cs="Times New Roman"/>
          <w:lang w:val="en-US"/>
        </w:rPr>
        <w:t>Financialisation</w:t>
      </w:r>
      <w:proofErr w:type="spellEnd"/>
      <w:r w:rsidRPr="007146E7">
        <w:rPr>
          <w:rFonts w:cs="Times New Roman"/>
          <w:lang w:val="en-US"/>
        </w:rPr>
        <w:t xml:space="preserve"> and the coupon pool.</w:t>
      </w:r>
      <w:proofErr w:type="gramEnd"/>
      <w:r w:rsidRPr="007146E7">
        <w:rPr>
          <w:rFonts w:cs="Times New Roman"/>
          <w:lang w:val="en-US"/>
        </w:rPr>
        <w:t xml:space="preserve"> </w:t>
      </w:r>
      <w:r w:rsidRPr="007146E7">
        <w:rPr>
          <w:rFonts w:cs="Times New Roman"/>
          <w:i/>
          <w:iCs/>
          <w:lang w:val="en-US"/>
        </w:rPr>
        <w:t>Capital &amp; Class</w:t>
      </w:r>
      <w:r w:rsidRPr="007146E7">
        <w:rPr>
          <w:rFonts w:cs="Times New Roman"/>
          <w:lang w:val="en-US"/>
        </w:rPr>
        <w:t xml:space="preserve">, </w:t>
      </w:r>
      <w:r w:rsidRPr="007146E7">
        <w:rPr>
          <w:rFonts w:cs="Times New Roman"/>
          <w:i/>
          <w:iCs/>
          <w:lang w:val="en-US"/>
        </w:rPr>
        <w:t>26</w:t>
      </w:r>
      <w:r w:rsidRPr="007146E7">
        <w:rPr>
          <w:rFonts w:cs="Times New Roman"/>
          <w:lang w:val="en-US"/>
        </w:rPr>
        <w:t>(3), pp. 119–151.</w:t>
      </w:r>
    </w:p>
    <w:p w14:paraId="65C51600" w14:textId="77777777" w:rsidR="007146E7" w:rsidRPr="007146E7" w:rsidRDefault="007146E7" w:rsidP="007146E7">
      <w:pPr>
        <w:pStyle w:val="Bibliography"/>
        <w:rPr>
          <w:rFonts w:cs="Times New Roman"/>
          <w:lang w:val="en-US"/>
        </w:rPr>
      </w:pPr>
      <w:proofErr w:type="spellStart"/>
      <w:r w:rsidRPr="007146E7">
        <w:rPr>
          <w:rFonts w:cs="Times New Roman"/>
          <w:lang w:val="en-US"/>
        </w:rPr>
        <w:t>Guironnet</w:t>
      </w:r>
      <w:proofErr w:type="spellEnd"/>
      <w:r w:rsidRPr="007146E7">
        <w:rPr>
          <w:rFonts w:cs="Times New Roman"/>
          <w:lang w:val="en-US"/>
        </w:rPr>
        <w:t xml:space="preserve">, A., </w:t>
      </w:r>
      <w:proofErr w:type="spellStart"/>
      <w:r w:rsidRPr="007146E7">
        <w:rPr>
          <w:rFonts w:cs="Times New Roman"/>
          <w:lang w:val="en-US"/>
        </w:rPr>
        <w:t>Attuyer</w:t>
      </w:r>
      <w:proofErr w:type="spellEnd"/>
      <w:r w:rsidRPr="007146E7">
        <w:rPr>
          <w:rFonts w:cs="Times New Roman"/>
          <w:lang w:val="en-US"/>
        </w:rPr>
        <w:t xml:space="preserve">, K., &amp; Halbert, L. (2015). Building cities on financial assets: The </w:t>
      </w:r>
      <w:proofErr w:type="spellStart"/>
      <w:r w:rsidRPr="007146E7">
        <w:rPr>
          <w:rFonts w:cs="Times New Roman"/>
          <w:lang w:val="en-US"/>
        </w:rPr>
        <w:t>financialisation</w:t>
      </w:r>
      <w:proofErr w:type="spellEnd"/>
      <w:r w:rsidRPr="007146E7">
        <w:rPr>
          <w:rFonts w:cs="Times New Roman"/>
          <w:lang w:val="en-US"/>
        </w:rPr>
        <w:t xml:space="preserve"> of property markets and its implications for city governments in the Paris city-region. </w:t>
      </w:r>
      <w:r w:rsidRPr="007146E7">
        <w:rPr>
          <w:rFonts w:cs="Times New Roman"/>
          <w:i/>
          <w:iCs/>
          <w:lang w:val="en-US"/>
        </w:rPr>
        <w:t>Urban Studies</w:t>
      </w:r>
      <w:r w:rsidRPr="007146E7">
        <w:rPr>
          <w:rFonts w:cs="Times New Roman"/>
          <w:lang w:val="en-US"/>
        </w:rPr>
        <w:t>, p. 0042098015576474.</w:t>
      </w:r>
    </w:p>
    <w:p w14:paraId="54E9FC2E" w14:textId="77777777" w:rsidR="007146E7" w:rsidRPr="007146E7" w:rsidRDefault="007146E7" w:rsidP="007146E7">
      <w:pPr>
        <w:pStyle w:val="Bibliography"/>
        <w:rPr>
          <w:rFonts w:cs="Times New Roman"/>
          <w:lang w:val="en-US"/>
        </w:rPr>
      </w:pPr>
      <w:r w:rsidRPr="007146E7">
        <w:rPr>
          <w:rFonts w:cs="Times New Roman"/>
          <w:lang w:val="en-US"/>
        </w:rPr>
        <w:t xml:space="preserve">Harvey, D. (1982). </w:t>
      </w:r>
      <w:proofErr w:type="gramStart"/>
      <w:r w:rsidRPr="007146E7">
        <w:rPr>
          <w:rFonts w:cs="Times New Roman"/>
          <w:i/>
          <w:iCs/>
          <w:lang w:val="en-US"/>
        </w:rPr>
        <w:t>The Limits to Capital</w:t>
      </w:r>
      <w:r w:rsidRPr="007146E7">
        <w:rPr>
          <w:rFonts w:cs="Times New Roman"/>
          <w:lang w:val="en-US"/>
        </w:rPr>
        <w:t>.</w:t>
      </w:r>
      <w:proofErr w:type="gramEnd"/>
      <w:r w:rsidRPr="007146E7">
        <w:rPr>
          <w:rFonts w:cs="Times New Roman"/>
          <w:lang w:val="en-US"/>
        </w:rPr>
        <w:t xml:space="preserve"> Chicago: University of Chicago Press.</w:t>
      </w:r>
    </w:p>
    <w:p w14:paraId="2F7C460E" w14:textId="77777777" w:rsidR="007146E7" w:rsidRPr="007146E7" w:rsidRDefault="007146E7" w:rsidP="007146E7">
      <w:pPr>
        <w:pStyle w:val="Bibliography"/>
        <w:rPr>
          <w:rFonts w:cs="Times New Roman"/>
          <w:lang w:val="en-US"/>
        </w:rPr>
      </w:pPr>
      <w:proofErr w:type="spellStart"/>
      <w:r w:rsidRPr="007146E7">
        <w:rPr>
          <w:rFonts w:cs="Times New Roman"/>
          <w:lang w:val="en-US"/>
        </w:rPr>
        <w:t>Henneberry</w:t>
      </w:r>
      <w:proofErr w:type="spellEnd"/>
      <w:r w:rsidRPr="007146E7">
        <w:rPr>
          <w:rFonts w:cs="Times New Roman"/>
          <w:lang w:val="en-US"/>
        </w:rPr>
        <w:t xml:space="preserve">, J., &amp; Roberts, C. (2008). Calculated Inequality? Portfolio Benchmarking and Regional Office Property Investment in the UK. </w:t>
      </w:r>
      <w:r w:rsidRPr="007146E7">
        <w:rPr>
          <w:rFonts w:cs="Times New Roman"/>
          <w:i/>
          <w:iCs/>
          <w:lang w:val="en-US"/>
        </w:rPr>
        <w:t>Urban Studies</w:t>
      </w:r>
      <w:r w:rsidRPr="007146E7">
        <w:rPr>
          <w:rFonts w:cs="Times New Roman"/>
          <w:lang w:val="en-US"/>
        </w:rPr>
        <w:t xml:space="preserve">, </w:t>
      </w:r>
      <w:r w:rsidRPr="007146E7">
        <w:rPr>
          <w:rFonts w:cs="Times New Roman"/>
          <w:i/>
          <w:iCs/>
          <w:lang w:val="en-US"/>
        </w:rPr>
        <w:t>45</w:t>
      </w:r>
      <w:r w:rsidRPr="007146E7">
        <w:rPr>
          <w:rFonts w:cs="Times New Roman"/>
          <w:lang w:val="en-US"/>
        </w:rPr>
        <w:t>, pp. 1217–1241.</w:t>
      </w:r>
    </w:p>
    <w:p w14:paraId="4D985CA7" w14:textId="77777777" w:rsidR="007146E7" w:rsidRPr="007146E7" w:rsidRDefault="007146E7" w:rsidP="007146E7">
      <w:pPr>
        <w:pStyle w:val="Bibliography"/>
        <w:rPr>
          <w:rFonts w:cs="Times New Roman"/>
          <w:lang w:val="en-US"/>
        </w:rPr>
      </w:pPr>
      <w:proofErr w:type="spellStart"/>
      <w:proofErr w:type="gramStart"/>
      <w:r w:rsidRPr="007146E7">
        <w:rPr>
          <w:rFonts w:cs="Times New Roman"/>
          <w:lang w:val="en-US"/>
        </w:rPr>
        <w:t>Kaika</w:t>
      </w:r>
      <w:proofErr w:type="spellEnd"/>
      <w:r w:rsidRPr="007146E7">
        <w:rPr>
          <w:rFonts w:cs="Times New Roman"/>
          <w:lang w:val="en-US"/>
        </w:rPr>
        <w:t>, M., &amp; Ruggiero, L. (2013).</w:t>
      </w:r>
      <w:proofErr w:type="gramEnd"/>
      <w:r w:rsidRPr="007146E7">
        <w:rPr>
          <w:rFonts w:cs="Times New Roman"/>
          <w:lang w:val="en-US"/>
        </w:rPr>
        <w:t xml:space="preserve"> Land Financialization as a “lived” process: The transformation of Milan’s </w:t>
      </w:r>
      <w:proofErr w:type="spellStart"/>
      <w:r w:rsidRPr="007146E7">
        <w:rPr>
          <w:rFonts w:cs="Times New Roman"/>
          <w:lang w:val="en-US"/>
        </w:rPr>
        <w:t>Bicocca</w:t>
      </w:r>
      <w:proofErr w:type="spellEnd"/>
      <w:r w:rsidRPr="007146E7">
        <w:rPr>
          <w:rFonts w:cs="Times New Roman"/>
          <w:lang w:val="en-US"/>
        </w:rPr>
        <w:t xml:space="preserve"> by Pirelli. </w:t>
      </w:r>
      <w:r w:rsidRPr="007146E7">
        <w:rPr>
          <w:rFonts w:cs="Times New Roman"/>
          <w:i/>
          <w:iCs/>
          <w:lang w:val="en-US"/>
        </w:rPr>
        <w:t>European Urban and Regional Studies</w:t>
      </w:r>
      <w:r w:rsidRPr="007146E7">
        <w:rPr>
          <w:rFonts w:cs="Times New Roman"/>
          <w:lang w:val="en-US"/>
        </w:rPr>
        <w:t xml:space="preserve">, </w:t>
      </w:r>
      <w:r w:rsidRPr="007146E7">
        <w:rPr>
          <w:rFonts w:cs="Times New Roman"/>
          <w:i/>
          <w:iCs/>
          <w:lang w:val="en-US"/>
        </w:rPr>
        <w:t>0</w:t>
      </w:r>
      <w:r w:rsidRPr="007146E7">
        <w:rPr>
          <w:rFonts w:cs="Times New Roman"/>
          <w:lang w:val="en-US"/>
        </w:rPr>
        <w:t>, pp. 1–20.</w:t>
      </w:r>
    </w:p>
    <w:p w14:paraId="69275D24" w14:textId="77777777" w:rsidR="007146E7" w:rsidRPr="007146E7" w:rsidRDefault="007146E7" w:rsidP="007146E7">
      <w:pPr>
        <w:pStyle w:val="Bibliography"/>
        <w:rPr>
          <w:rFonts w:cs="Times New Roman"/>
          <w:lang w:val="en-US"/>
        </w:rPr>
      </w:pPr>
      <w:proofErr w:type="spellStart"/>
      <w:r w:rsidRPr="007146E7">
        <w:rPr>
          <w:rFonts w:cs="Times New Roman"/>
          <w:lang w:val="en-US"/>
        </w:rPr>
        <w:t>Leyshon</w:t>
      </w:r>
      <w:proofErr w:type="spellEnd"/>
      <w:r w:rsidRPr="007146E7">
        <w:rPr>
          <w:rFonts w:cs="Times New Roman"/>
          <w:lang w:val="en-US"/>
        </w:rPr>
        <w:t xml:space="preserve">, A., &amp; Thrift, N. (2007). The capitalization of almost everything: the future of finance and capitalism. </w:t>
      </w:r>
      <w:r w:rsidRPr="007146E7">
        <w:rPr>
          <w:rFonts w:cs="Times New Roman"/>
          <w:i/>
          <w:iCs/>
          <w:lang w:val="en-US"/>
        </w:rPr>
        <w:t>Theory, Culture &amp; Society</w:t>
      </w:r>
      <w:r w:rsidRPr="007146E7">
        <w:rPr>
          <w:rFonts w:cs="Times New Roman"/>
          <w:lang w:val="en-US"/>
        </w:rPr>
        <w:t xml:space="preserve">, </w:t>
      </w:r>
      <w:r w:rsidRPr="007146E7">
        <w:rPr>
          <w:rFonts w:cs="Times New Roman"/>
          <w:i/>
          <w:iCs/>
          <w:lang w:val="en-US"/>
        </w:rPr>
        <w:t>24</w:t>
      </w:r>
      <w:r w:rsidRPr="007146E7">
        <w:rPr>
          <w:rFonts w:cs="Times New Roman"/>
          <w:lang w:val="en-US"/>
        </w:rPr>
        <w:t>, pp. 97–115.</w:t>
      </w:r>
    </w:p>
    <w:p w14:paraId="262D0C31" w14:textId="77777777" w:rsidR="007146E7" w:rsidRPr="007146E7" w:rsidRDefault="007146E7" w:rsidP="007146E7">
      <w:pPr>
        <w:pStyle w:val="Bibliography"/>
        <w:rPr>
          <w:rFonts w:cs="Times New Roman"/>
          <w:lang w:val="en-US"/>
        </w:rPr>
      </w:pPr>
      <w:proofErr w:type="spellStart"/>
      <w:r w:rsidRPr="007146E7">
        <w:rPr>
          <w:rFonts w:cs="Times New Roman"/>
          <w:lang w:val="en-US"/>
        </w:rPr>
        <w:t>Lizieri</w:t>
      </w:r>
      <w:proofErr w:type="spellEnd"/>
      <w:r w:rsidRPr="007146E7">
        <w:rPr>
          <w:rFonts w:cs="Times New Roman"/>
          <w:lang w:val="en-US"/>
        </w:rPr>
        <w:t xml:space="preserve">, C. (2009). </w:t>
      </w:r>
      <w:r w:rsidRPr="007146E7">
        <w:rPr>
          <w:rFonts w:cs="Times New Roman"/>
          <w:i/>
          <w:iCs/>
          <w:lang w:val="en-US"/>
        </w:rPr>
        <w:t>Towers of capital: office markets &amp; international financial services</w:t>
      </w:r>
      <w:r w:rsidRPr="007146E7">
        <w:rPr>
          <w:rFonts w:cs="Times New Roman"/>
          <w:lang w:val="en-US"/>
        </w:rPr>
        <w:t xml:space="preserve">. </w:t>
      </w:r>
      <w:proofErr w:type="spellStart"/>
      <w:r w:rsidRPr="007146E7">
        <w:rPr>
          <w:rFonts w:cs="Times New Roman"/>
          <w:lang w:val="en-US"/>
        </w:rPr>
        <w:t>Chichester</w:t>
      </w:r>
      <w:proofErr w:type="spellEnd"/>
      <w:r w:rsidRPr="007146E7">
        <w:rPr>
          <w:rFonts w:cs="Times New Roman"/>
          <w:lang w:val="en-US"/>
        </w:rPr>
        <w:t>: Wiley-Blackwell.</w:t>
      </w:r>
    </w:p>
    <w:p w14:paraId="29396CAC" w14:textId="77777777" w:rsidR="007146E7" w:rsidRPr="007146E7" w:rsidRDefault="007146E7" w:rsidP="007146E7">
      <w:pPr>
        <w:pStyle w:val="Bibliography"/>
        <w:rPr>
          <w:rFonts w:cs="Times New Roman"/>
          <w:lang w:val="en-US"/>
        </w:rPr>
      </w:pPr>
      <w:r w:rsidRPr="007146E7">
        <w:rPr>
          <w:rFonts w:cs="Times New Roman"/>
          <w:lang w:val="en-US"/>
        </w:rPr>
        <w:t xml:space="preserve">Martin, R. (2002). </w:t>
      </w:r>
      <w:proofErr w:type="gramStart"/>
      <w:r w:rsidRPr="007146E7">
        <w:rPr>
          <w:rFonts w:cs="Times New Roman"/>
          <w:i/>
          <w:iCs/>
          <w:lang w:val="en-US"/>
        </w:rPr>
        <w:t>Financialization of daily life</w:t>
      </w:r>
      <w:r w:rsidRPr="007146E7">
        <w:rPr>
          <w:rFonts w:cs="Times New Roman"/>
          <w:lang w:val="en-US"/>
        </w:rPr>
        <w:t>.</w:t>
      </w:r>
      <w:proofErr w:type="gramEnd"/>
      <w:r w:rsidRPr="007146E7">
        <w:rPr>
          <w:rFonts w:cs="Times New Roman"/>
          <w:lang w:val="en-US"/>
        </w:rPr>
        <w:t xml:space="preserve"> </w:t>
      </w:r>
      <w:proofErr w:type="gramStart"/>
      <w:r w:rsidRPr="007146E7">
        <w:rPr>
          <w:rFonts w:cs="Times New Roman"/>
          <w:lang w:val="en-US"/>
        </w:rPr>
        <w:t xml:space="preserve">Temple </w:t>
      </w:r>
      <w:proofErr w:type="spellStart"/>
      <w:r w:rsidRPr="007146E7">
        <w:rPr>
          <w:rFonts w:cs="Times New Roman"/>
          <w:lang w:val="en-US"/>
        </w:rPr>
        <w:t>Univ</w:t>
      </w:r>
      <w:proofErr w:type="spellEnd"/>
      <w:r w:rsidRPr="007146E7">
        <w:rPr>
          <w:rFonts w:cs="Times New Roman"/>
          <w:lang w:val="en-US"/>
        </w:rPr>
        <w:t xml:space="preserve"> Pr.</w:t>
      </w:r>
      <w:proofErr w:type="gramEnd"/>
    </w:p>
    <w:p w14:paraId="1B0AD728" w14:textId="77777777" w:rsidR="007146E7" w:rsidRPr="007146E7" w:rsidRDefault="007146E7" w:rsidP="007146E7">
      <w:pPr>
        <w:pStyle w:val="Bibliography"/>
        <w:rPr>
          <w:rFonts w:cs="Times New Roman"/>
          <w:lang w:val="en-US"/>
        </w:rPr>
      </w:pPr>
      <w:proofErr w:type="spellStart"/>
      <w:r w:rsidRPr="007146E7">
        <w:rPr>
          <w:rFonts w:cs="Times New Roman"/>
          <w:lang w:val="en-US"/>
        </w:rPr>
        <w:t>Rallet</w:t>
      </w:r>
      <w:proofErr w:type="spellEnd"/>
      <w:r w:rsidRPr="007146E7">
        <w:rPr>
          <w:rFonts w:cs="Times New Roman"/>
          <w:lang w:val="en-US"/>
        </w:rPr>
        <w:t xml:space="preserve">, A., &amp; Torre, A. (2005). </w:t>
      </w:r>
      <w:proofErr w:type="gramStart"/>
      <w:r w:rsidRPr="007146E7">
        <w:rPr>
          <w:rFonts w:cs="Times New Roman"/>
          <w:lang w:val="en-US"/>
        </w:rPr>
        <w:t>Proximity and localization.</w:t>
      </w:r>
      <w:proofErr w:type="gramEnd"/>
      <w:r w:rsidRPr="007146E7">
        <w:rPr>
          <w:rFonts w:cs="Times New Roman"/>
          <w:lang w:val="en-US"/>
        </w:rPr>
        <w:t xml:space="preserve"> </w:t>
      </w:r>
      <w:r w:rsidRPr="007146E7">
        <w:rPr>
          <w:rFonts w:cs="Times New Roman"/>
          <w:i/>
          <w:iCs/>
          <w:lang w:val="en-US"/>
        </w:rPr>
        <w:t>Regional Studies</w:t>
      </w:r>
      <w:r w:rsidRPr="007146E7">
        <w:rPr>
          <w:rFonts w:cs="Times New Roman"/>
          <w:lang w:val="en-US"/>
        </w:rPr>
        <w:t xml:space="preserve">, </w:t>
      </w:r>
      <w:r w:rsidRPr="007146E7">
        <w:rPr>
          <w:rFonts w:cs="Times New Roman"/>
          <w:i/>
          <w:iCs/>
          <w:lang w:val="en-US"/>
        </w:rPr>
        <w:t>39</w:t>
      </w:r>
      <w:r w:rsidRPr="007146E7">
        <w:rPr>
          <w:rFonts w:cs="Times New Roman"/>
          <w:lang w:val="en-US"/>
        </w:rPr>
        <w:t>, pp. 47–60.</w:t>
      </w:r>
    </w:p>
    <w:p w14:paraId="09ECD6C0" w14:textId="77777777" w:rsidR="007146E7" w:rsidRPr="007146E7" w:rsidRDefault="007146E7" w:rsidP="007146E7">
      <w:pPr>
        <w:pStyle w:val="Bibliography"/>
        <w:rPr>
          <w:rFonts w:cs="Times New Roman"/>
          <w:lang w:val="en-US"/>
        </w:rPr>
      </w:pPr>
      <w:proofErr w:type="spellStart"/>
      <w:proofErr w:type="gramStart"/>
      <w:r w:rsidRPr="007146E7">
        <w:rPr>
          <w:rFonts w:cs="Times New Roman"/>
          <w:lang w:val="en-US"/>
        </w:rPr>
        <w:t>Theurillat</w:t>
      </w:r>
      <w:proofErr w:type="spellEnd"/>
      <w:r w:rsidRPr="007146E7">
        <w:rPr>
          <w:rFonts w:cs="Times New Roman"/>
          <w:lang w:val="en-US"/>
        </w:rPr>
        <w:t xml:space="preserve">, T., &amp; </w:t>
      </w:r>
      <w:proofErr w:type="spellStart"/>
      <w:r w:rsidRPr="007146E7">
        <w:rPr>
          <w:rFonts w:cs="Times New Roman"/>
          <w:lang w:val="en-US"/>
        </w:rPr>
        <w:t>Crevoisier</w:t>
      </w:r>
      <w:proofErr w:type="spellEnd"/>
      <w:r w:rsidRPr="007146E7">
        <w:rPr>
          <w:rFonts w:cs="Times New Roman"/>
          <w:lang w:val="en-US"/>
        </w:rPr>
        <w:t>, O. (2014).</w:t>
      </w:r>
      <w:proofErr w:type="gramEnd"/>
      <w:r w:rsidRPr="007146E7">
        <w:rPr>
          <w:rFonts w:cs="Times New Roman"/>
          <w:lang w:val="en-US"/>
        </w:rPr>
        <w:t xml:space="preserve"> Sustainability and the anchoring of capital: negotiations surrounding two major urban projects in Switzerland. </w:t>
      </w:r>
      <w:r w:rsidRPr="007146E7">
        <w:rPr>
          <w:rFonts w:cs="Times New Roman"/>
          <w:i/>
          <w:iCs/>
          <w:lang w:val="en-US"/>
        </w:rPr>
        <w:t>Regional Studies</w:t>
      </w:r>
      <w:r w:rsidRPr="007146E7">
        <w:rPr>
          <w:rFonts w:cs="Times New Roman"/>
          <w:lang w:val="en-US"/>
        </w:rPr>
        <w:t xml:space="preserve">, </w:t>
      </w:r>
      <w:r w:rsidRPr="007146E7">
        <w:rPr>
          <w:rFonts w:cs="Times New Roman"/>
          <w:i/>
          <w:iCs/>
          <w:lang w:val="en-US"/>
        </w:rPr>
        <w:t>48</w:t>
      </w:r>
      <w:r w:rsidRPr="007146E7">
        <w:rPr>
          <w:rFonts w:cs="Times New Roman"/>
          <w:lang w:val="en-US"/>
        </w:rPr>
        <w:t>(3), pp. 501–515.</w:t>
      </w:r>
    </w:p>
    <w:p w14:paraId="5DF74696" w14:textId="77777777" w:rsidR="007146E7" w:rsidRPr="007146E7" w:rsidRDefault="007146E7" w:rsidP="007146E7">
      <w:pPr>
        <w:pStyle w:val="Bibliography"/>
        <w:rPr>
          <w:rFonts w:cs="Times New Roman"/>
          <w:lang w:val="en-US"/>
        </w:rPr>
      </w:pPr>
      <w:r w:rsidRPr="007146E7">
        <w:rPr>
          <w:rFonts w:cs="Times New Roman"/>
          <w:lang w:val="en-US"/>
        </w:rPr>
        <w:t xml:space="preserve">Torrance, M. (2008). Forging </w:t>
      </w:r>
      <w:proofErr w:type="spellStart"/>
      <w:r w:rsidRPr="007146E7">
        <w:rPr>
          <w:rFonts w:cs="Times New Roman"/>
          <w:lang w:val="en-US"/>
        </w:rPr>
        <w:t>Glocal</w:t>
      </w:r>
      <w:proofErr w:type="spellEnd"/>
      <w:r w:rsidRPr="007146E7">
        <w:rPr>
          <w:rFonts w:cs="Times New Roman"/>
          <w:lang w:val="en-US"/>
        </w:rPr>
        <w:t xml:space="preserve"> Governance? </w:t>
      </w:r>
      <w:proofErr w:type="gramStart"/>
      <w:r w:rsidRPr="007146E7">
        <w:rPr>
          <w:rFonts w:cs="Times New Roman"/>
          <w:lang w:val="en-US"/>
        </w:rPr>
        <w:t>Urban Infrastructures as Networked Financial Products.</w:t>
      </w:r>
      <w:proofErr w:type="gramEnd"/>
      <w:r w:rsidRPr="007146E7">
        <w:rPr>
          <w:rFonts w:cs="Times New Roman"/>
          <w:lang w:val="en-US"/>
        </w:rPr>
        <w:t xml:space="preserve"> </w:t>
      </w:r>
      <w:r w:rsidRPr="007146E7">
        <w:rPr>
          <w:rFonts w:cs="Times New Roman"/>
          <w:i/>
          <w:iCs/>
          <w:lang w:val="en-US"/>
        </w:rPr>
        <w:t>International Journal of Urban and Regional Research</w:t>
      </w:r>
      <w:r w:rsidRPr="007146E7">
        <w:rPr>
          <w:rFonts w:cs="Times New Roman"/>
          <w:lang w:val="en-US"/>
        </w:rPr>
        <w:t xml:space="preserve">, </w:t>
      </w:r>
      <w:r w:rsidRPr="007146E7">
        <w:rPr>
          <w:rFonts w:cs="Times New Roman"/>
          <w:i/>
          <w:iCs/>
          <w:lang w:val="en-US"/>
        </w:rPr>
        <w:t>32</w:t>
      </w:r>
      <w:r w:rsidRPr="007146E7">
        <w:rPr>
          <w:rFonts w:cs="Times New Roman"/>
          <w:lang w:val="en-US"/>
        </w:rPr>
        <w:t>, pp. 1–21.</w:t>
      </w:r>
    </w:p>
    <w:p w14:paraId="10B4D59B" w14:textId="5957375A" w:rsidR="002F0509" w:rsidRDefault="007146E7" w:rsidP="00035D52">
      <w:pPr>
        <w:spacing w:line="240" w:lineRule="auto"/>
        <w:rPr>
          <w:lang w:val="en-US"/>
        </w:rPr>
      </w:pPr>
      <w:r>
        <w:rPr>
          <w:lang w:val="en-US"/>
        </w:rPr>
        <w:fldChar w:fldCharType="end"/>
      </w:r>
    </w:p>
    <w:p w14:paraId="04735AA1" w14:textId="77777777" w:rsidR="00B12CAA" w:rsidRDefault="00B12CAA" w:rsidP="00035D52">
      <w:pPr>
        <w:spacing w:line="240" w:lineRule="auto"/>
        <w:rPr>
          <w:lang w:val="en-US"/>
        </w:rPr>
      </w:pPr>
    </w:p>
    <w:p w14:paraId="1B84C1D4" w14:textId="77777777" w:rsidR="00E14942" w:rsidRPr="00B54D4B" w:rsidRDefault="00E14942" w:rsidP="00035D52">
      <w:pPr>
        <w:spacing w:line="240" w:lineRule="auto"/>
        <w:rPr>
          <w:lang w:val="en-US"/>
        </w:rPr>
      </w:pPr>
    </w:p>
    <w:sectPr w:rsidR="00E14942" w:rsidRPr="00B54D4B" w:rsidSect="0036538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22C02C"/>
    <w:lvl w:ilvl="0" w:tplc="F560105C">
      <w:start w:val="1"/>
      <w:numFmt w:val="lowerRoman"/>
      <w:lvlText w:val="%1."/>
      <w:lvlJc w:val="right"/>
      <w:pPr>
        <w:tabs>
          <w:tab w:val="num" w:pos="-180"/>
        </w:tabs>
        <w:ind w:left="180" w:hanging="180"/>
      </w:pPr>
      <w:rPr>
        <w:rFonts w:ascii="Times New Roman" w:eastAsia="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tabs>
          <w:tab w:val="num" w:pos="1080"/>
        </w:tabs>
        <w:ind w:left="1440" w:hanging="360"/>
      </w:pPr>
      <w:rPr>
        <w:rFonts w:ascii="Times New Roman" w:eastAsia="Times New Roman" w:hAnsi="Times New Roman" w:cs="Times New Roman"/>
        <w:b w:val="0"/>
        <w:bCs w:val="0"/>
        <w:i w:val="0"/>
        <w:iCs w:val="0"/>
        <w:strike w:val="0"/>
        <w:color w:val="000000"/>
        <w:sz w:val="22"/>
        <w:szCs w:val="22"/>
        <w:u w:val="none"/>
      </w:rPr>
    </w:lvl>
    <w:lvl w:ilvl="2" w:tplc="FFFFFFFF">
      <w:start w:val="1"/>
      <w:numFmt w:val="lowerRoman"/>
      <w:pStyle w:val="AT4"/>
      <w:lvlText w:val="%3."/>
      <w:lvlJc w:val="right"/>
      <w:pPr>
        <w:tabs>
          <w:tab w:val="num" w:pos="1800"/>
        </w:tabs>
        <w:ind w:left="2160" w:hanging="180"/>
      </w:pPr>
      <w:rPr>
        <w:rFonts w:ascii="Times New Roman" w:eastAsia="Times New Roman" w:hAnsi="Times New Roman" w:cs="Times New Roman"/>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Times New Roman" w:eastAsia="Times New Roman" w:hAnsi="Times New Roman" w:cs="Times New Roman"/>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Times New Roman" w:eastAsia="Times New Roman" w:hAnsi="Times New Roman" w:cs="Times New Roman"/>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Times New Roman" w:eastAsia="Times New Roman" w:hAnsi="Times New Roman" w:cs="Times New Roman"/>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Times New Roman" w:eastAsia="Times New Roman" w:hAnsi="Times New Roman" w:cs="Times New Roman"/>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Times New Roman" w:eastAsia="Times New Roman" w:hAnsi="Times New Roman" w:cs="Times New Roman"/>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Times New Roman" w:eastAsia="Times New Roman" w:hAnsi="Times New Roman" w:cs="Times New Roman"/>
        <w:b w:val="0"/>
        <w:bCs w:val="0"/>
        <w:i w:val="0"/>
        <w:iCs w:val="0"/>
        <w:strike w:val="0"/>
        <w:color w:val="000000"/>
        <w:sz w:val="22"/>
        <w:szCs w:val="22"/>
        <w:u w:val="none"/>
      </w:rPr>
    </w:lvl>
  </w:abstractNum>
  <w:abstractNum w:abstractNumId="1">
    <w:nsid w:val="2F9F1FB5"/>
    <w:multiLevelType w:val="hybridMultilevel"/>
    <w:tmpl w:val="49B652D2"/>
    <w:lvl w:ilvl="0" w:tplc="976A559A">
      <w:start w:val="1"/>
      <w:numFmt w:val="decimal"/>
      <w:pStyle w:val="AT2"/>
      <w:lvlText w:val="%1."/>
      <w:lvlJc w:val="left"/>
      <w:pPr>
        <w:ind w:left="360" w:hanging="360"/>
      </w:pPr>
      <w:rPr>
        <w:rFonts w:hint="default"/>
        <w:b/>
        <w:bCs/>
        <w:i w:val="0"/>
        <w:iCs w:val="0"/>
        <w:color w:val="FF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6C57C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38723F59"/>
    <w:multiLevelType w:val="hybridMultilevel"/>
    <w:tmpl w:val="F5D2186C"/>
    <w:lvl w:ilvl="0" w:tplc="A02EA424">
      <w:start w:val="1"/>
      <w:numFmt w:val="decimal"/>
      <w:pStyle w:val="AT1"/>
      <w:lvlText w:val="Section %1."/>
      <w:lvlJc w:val="left"/>
      <w:pPr>
        <w:tabs>
          <w:tab w:val="num" w:pos="2835"/>
        </w:tabs>
        <w:ind w:left="2835" w:firstLine="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4">
    <w:nsid w:val="43E568DD"/>
    <w:multiLevelType w:val="singleLevel"/>
    <w:tmpl w:val="653898B6"/>
    <w:lvl w:ilvl="0">
      <w:start w:val="1"/>
      <w:numFmt w:val="lowerLetter"/>
      <w:pStyle w:val="AConclusion"/>
      <w:lvlText w:val="%1."/>
      <w:lvlJc w:val="left"/>
      <w:pPr>
        <w:ind w:left="360" w:hanging="360"/>
      </w:pPr>
      <w:rPr>
        <w:rFonts w:hint="default"/>
        <w:b/>
        <w:bCs/>
        <w:i w:val="0"/>
        <w:iCs w:val="0"/>
        <w:caps w:val="0"/>
        <w:smallCaps w:val="0"/>
        <w:strike w:val="0"/>
        <w:dstrike w:val="0"/>
        <w:outline w:val="0"/>
        <w:shadow w:val="0"/>
        <w:emboss w:val="0"/>
        <w:imprint w:val="0"/>
        <w:noProof w:val="0"/>
        <w:vanish w:val="0"/>
        <w:color w:val="000000" w:themeColor="text1"/>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5">
    <w:nsid w:val="467779F4"/>
    <w:multiLevelType w:val="hybridMultilevel"/>
    <w:tmpl w:val="4E6ACBCE"/>
    <w:lvl w:ilvl="0" w:tplc="670A6C9E">
      <w:start w:val="1"/>
      <w:numFmt w:val="decimal"/>
      <w:pStyle w:val="AT0"/>
      <w:lvlText w:val="Partie %1."/>
      <w:lvlJc w:val="left"/>
      <w:pPr>
        <w:ind w:left="2835" w:firstLine="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6">
    <w:nsid w:val="660A5F7F"/>
    <w:multiLevelType w:val="hybridMultilevel"/>
    <w:tmpl w:val="BE30EB0E"/>
    <w:lvl w:ilvl="0" w:tplc="D494AEC8">
      <w:start w:val="1"/>
      <w:numFmt w:val="lowerLetter"/>
      <w:pStyle w:val="AT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BA2770"/>
    <w:multiLevelType w:val="hybridMultilevel"/>
    <w:tmpl w:val="B37AF282"/>
    <w:lvl w:ilvl="0" w:tplc="F780ACE2">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0"/>
  </w:num>
  <w:num w:numId="5">
    <w:abstractNumId w:val="4"/>
  </w:num>
  <w:num w:numId="6">
    <w:abstractNumId w:val="7"/>
  </w:num>
  <w:num w:numId="7">
    <w:abstractNumId w:val="5"/>
  </w:num>
  <w:num w:numId="8">
    <w:abstractNumId w:val="3"/>
  </w:num>
  <w:num w:numId="9">
    <w:abstractNumId w:val="1"/>
  </w:num>
  <w:num w:numId="10">
    <w:abstractNumId w:val="4"/>
    <w:lvlOverride w:ilvl="0">
      <w:startOverride w:val="1"/>
    </w:lvlOverride>
  </w:num>
  <w:num w:numId="11">
    <w:abstractNumId w:val="4"/>
    <w:lvlOverride w:ilvl="0">
      <w:startOverride w:val="1"/>
    </w:lvlOverride>
  </w:num>
  <w:num w:numId="12">
    <w:abstractNumId w:val="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4"/>
    <w:lvlOverride w:ilvl="0">
      <w:startOverride w:val="1"/>
    </w:lvlOverride>
  </w:num>
  <w:num w:numId="23">
    <w:abstractNumId w:val="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D4B"/>
    <w:rsid w:val="00035D52"/>
    <w:rsid w:val="00041F29"/>
    <w:rsid w:val="000851F2"/>
    <w:rsid w:val="00094100"/>
    <w:rsid w:val="000C3088"/>
    <w:rsid w:val="000E18DC"/>
    <w:rsid w:val="00142A67"/>
    <w:rsid w:val="001668D0"/>
    <w:rsid w:val="00172967"/>
    <w:rsid w:val="001B2EDD"/>
    <w:rsid w:val="00210269"/>
    <w:rsid w:val="002E57D7"/>
    <w:rsid w:val="002F0509"/>
    <w:rsid w:val="0036538F"/>
    <w:rsid w:val="003B2DD1"/>
    <w:rsid w:val="003B6B28"/>
    <w:rsid w:val="003C7658"/>
    <w:rsid w:val="00402569"/>
    <w:rsid w:val="00406AB4"/>
    <w:rsid w:val="00427C00"/>
    <w:rsid w:val="00487827"/>
    <w:rsid w:val="00501EEA"/>
    <w:rsid w:val="00513396"/>
    <w:rsid w:val="0053549B"/>
    <w:rsid w:val="00594C0A"/>
    <w:rsid w:val="005F1240"/>
    <w:rsid w:val="005F2D97"/>
    <w:rsid w:val="0067284C"/>
    <w:rsid w:val="006B4B97"/>
    <w:rsid w:val="00702E75"/>
    <w:rsid w:val="007146E7"/>
    <w:rsid w:val="00715A2C"/>
    <w:rsid w:val="00751CAB"/>
    <w:rsid w:val="00787D32"/>
    <w:rsid w:val="007B0598"/>
    <w:rsid w:val="007B5F85"/>
    <w:rsid w:val="007D1F2C"/>
    <w:rsid w:val="007E5B57"/>
    <w:rsid w:val="0088598A"/>
    <w:rsid w:val="008A542E"/>
    <w:rsid w:val="008C3040"/>
    <w:rsid w:val="0090205A"/>
    <w:rsid w:val="009335B5"/>
    <w:rsid w:val="0093362C"/>
    <w:rsid w:val="00954038"/>
    <w:rsid w:val="009544F4"/>
    <w:rsid w:val="00961F9D"/>
    <w:rsid w:val="00995632"/>
    <w:rsid w:val="009C3284"/>
    <w:rsid w:val="009E07AA"/>
    <w:rsid w:val="009E7A2B"/>
    <w:rsid w:val="00A0575A"/>
    <w:rsid w:val="00A177C1"/>
    <w:rsid w:val="00A86903"/>
    <w:rsid w:val="00AD0467"/>
    <w:rsid w:val="00B12CAA"/>
    <w:rsid w:val="00B544E7"/>
    <w:rsid w:val="00B54D4B"/>
    <w:rsid w:val="00BC427F"/>
    <w:rsid w:val="00BD1CFE"/>
    <w:rsid w:val="00BD62D7"/>
    <w:rsid w:val="00BE023E"/>
    <w:rsid w:val="00BF0AFA"/>
    <w:rsid w:val="00C06D22"/>
    <w:rsid w:val="00C20F2F"/>
    <w:rsid w:val="00C51FD4"/>
    <w:rsid w:val="00CF7468"/>
    <w:rsid w:val="00D0438E"/>
    <w:rsid w:val="00DC5859"/>
    <w:rsid w:val="00E14942"/>
    <w:rsid w:val="00E212E7"/>
    <w:rsid w:val="00E27946"/>
    <w:rsid w:val="00EB145A"/>
    <w:rsid w:val="00EC19DA"/>
    <w:rsid w:val="00ED3D62"/>
    <w:rsid w:val="00EF3642"/>
    <w:rsid w:val="00F15365"/>
    <w:rsid w:val="00F26291"/>
    <w:rsid w:val="00F36BA6"/>
    <w:rsid w:val="00F45CD7"/>
    <w:rsid w:val="00F74586"/>
    <w:rsid w:val="00FB51BD"/>
    <w:rsid w:val="00FB64B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F428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_Normal"/>
    <w:qFormat/>
    <w:rsid w:val="00715A2C"/>
    <w:pPr>
      <w:spacing w:after="120" w:line="360" w:lineRule="auto"/>
      <w:jc w:val="both"/>
    </w:pPr>
    <w:rPr>
      <w:rFonts w:ascii="Times New Roman" w:eastAsia="Arial" w:hAnsi="Times New Roman" w:cs="Arial"/>
      <w:color w:val="000000"/>
      <w:szCs w:val="22"/>
    </w:rPr>
  </w:style>
  <w:style w:type="paragraph" w:styleId="Heading1">
    <w:name w:val="heading 1"/>
    <w:basedOn w:val="Normal"/>
    <w:next w:val="Normal"/>
    <w:link w:val="Heading1Char"/>
    <w:uiPriority w:val="99"/>
    <w:rsid w:val="00715A2C"/>
    <w:pPr>
      <w:numPr>
        <w:numId w:val="21"/>
      </w:numPr>
      <w:spacing w:before="480"/>
      <w:outlineLvl w:val="0"/>
    </w:pPr>
    <w:rPr>
      <w:b/>
      <w:bCs/>
      <w:sz w:val="36"/>
      <w:szCs w:val="36"/>
    </w:rPr>
  </w:style>
  <w:style w:type="paragraph" w:styleId="Heading2">
    <w:name w:val="heading 2"/>
    <w:basedOn w:val="Normal"/>
    <w:next w:val="Normal"/>
    <w:link w:val="Heading2Char"/>
    <w:uiPriority w:val="99"/>
    <w:rsid w:val="00715A2C"/>
    <w:pPr>
      <w:numPr>
        <w:ilvl w:val="1"/>
        <w:numId w:val="21"/>
      </w:numPr>
      <w:spacing w:before="360" w:after="80"/>
      <w:outlineLvl w:val="1"/>
    </w:pPr>
    <w:rPr>
      <w:b/>
      <w:bCs/>
      <w:sz w:val="28"/>
      <w:szCs w:val="28"/>
    </w:rPr>
  </w:style>
  <w:style w:type="paragraph" w:styleId="Heading3">
    <w:name w:val="heading 3"/>
    <w:basedOn w:val="Normal"/>
    <w:next w:val="Normal"/>
    <w:link w:val="Heading3Char"/>
    <w:uiPriority w:val="99"/>
    <w:qFormat/>
    <w:rsid w:val="00715A2C"/>
    <w:pPr>
      <w:numPr>
        <w:ilvl w:val="2"/>
        <w:numId w:val="21"/>
      </w:numPr>
      <w:spacing w:before="280" w:after="80"/>
      <w:outlineLvl w:val="2"/>
    </w:pPr>
    <w:rPr>
      <w:b/>
      <w:bCs/>
      <w:color w:val="666666"/>
    </w:rPr>
  </w:style>
  <w:style w:type="paragraph" w:styleId="Heading4">
    <w:name w:val="heading 4"/>
    <w:basedOn w:val="Normal"/>
    <w:next w:val="Normal"/>
    <w:link w:val="Heading4Char"/>
    <w:uiPriority w:val="99"/>
    <w:qFormat/>
    <w:rsid w:val="00715A2C"/>
    <w:pPr>
      <w:numPr>
        <w:ilvl w:val="3"/>
        <w:numId w:val="21"/>
      </w:numPr>
      <w:spacing w:before="240" w:after="40"/>
      <w:outlineLvl w:val="3"/>
    </w:pPr>
    <w:rPr>
      <w:i/>
      <w:iCs/>
      <w:color w:val="666666"/>
      <w:sz w:val="22"/>
    </w:rPr>
  </w:style>
  <w:style w:type="paragraph" w:styleId="Heading5">
    <w:name w:val="heading 5"/>
    <w:basedOn w:val="Normal"/>
    <w:next w:val="Normal"/>
    <w:link w:val="Heading5Char"/>
    <w:uiPriority w:val="99"/>
    <w:qFormat/>
    <w:rsid w:val="00715A2C"/>
    <w:pPr>
      <w:numPr>
        <w:ilvl w:val="4"/>
        <w:numId w:val="21"/>
      </w:numPr>
      <w:spacing w:before="220" w:after="40"/>
      <w:outlineLvl w:val="4"/>
    </w:pPr>
    <w:rPr>
      <w:b/>
      <w:bCs/>
      <w:color w:val="666666"/>
      <w:sz w:val="20"/>
      <w:szCs w:val="20"/>
    </w:rPr>
  </w:style>
  <w:style w:type="paragraph" w:styleId="Heading6">
    <w:name w:val="heading 6"/>
    <w:basedOn w:val="Normal"/>
    <w:next w:val="Normal"/>
    <w:link w:val="Heading6Char"/>
    <w:uiPriority w:val="99"/>
    <w:rsid w:val="00715A2C"/>
    <w:pPr>
      <w:numPr>
        <w:ilvl w:val="5"/>
        <w:numId w:val="21"/>
      </w:numPr>
      <w:spacing w:before="200" w:after="40"/>
      <w:outlineLvl w:val="5"/>
    </w:pPr>
    <w:rPr>
      <w:i/>
      <w:iCs/>
      <w:color w:val="666666"/>
      <w:sz w:val="20"/>
      <w:szCs w:val="20"/>
    </w:rPr>
  </w:style>
  <w:style w:type="paragraph" w:styleId="Heading7">
    <w:name w:val="heading 7"/>
    <w:basedOn w:val="Normal"/>
    <w:next w:val="Normal"/>
    <w:link w:val="Heading7Char"/>
    <w:uiPriority w:val="99"/>
    <w:unhideWhenUsed/>
    <w:qFormat/>
    <w:rsid w:val="00715A2C"/>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715A2C"/>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rsid w:val="00715A2C"/>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15A2C"/>
    <w:rPr>
      <w:rFonts w:ascii="Times New Roman" w:eastAsia="Arial" w:hAnsi="Times New Roman" w:cs="Arial"/>
      <w:b/>
      <w:bCs/>
      <w:color w:val="000000"/>
      <w:sz w:val="36"/>
      <w:szCs w:val="36"/>
    </w:rPr>
  </w:style>
  <w:style w:type="paragraph" w:customStyle="1" w:styleId="AT4">
    <w:name w:val="AT4"/>
    <w:basedOn w:val="AT3"/>
    <w:next w:val="Normal"/>
    <w:uiPriority w:val="99"/>
    <w:qFormat/>
    <w:rsid w:val="00715A2C"/>
    <w:pPr>
      <w:numPr>
        <w:ilvl w:val="2"/>
        <w:numId w:val="12"/>
      </w:numPr>
    </w:pPr>
    <w:rPr>
      <w:b w:val="0"/>
    </w:rPr>
  </w:style>
  <w:style w:type="paragraph" w:customStyle="1" w:styleId="AT6">
    <w:name w:val="AT6"/>
    <w:basedOn w:val="AT5"/>
    <w:next w:val="Normal"/>
    <w:autoRedefine/>
    <w:uiPriority w:val="99"/>
    <w:qFormat/>
    <w:rsid w:val="00715A2C"/>
  </w:style>
  <w:style w:type="paragraph" w:customStyle="1" w:styleId="ACitations">
    <w:name w:val="A_Citations"/>
    <w:basedOn w:val="Normal"/>
    <w:next w:val="Normal"/>
    <w:uiPriority w:val="99"/>
    <w:qFormat/>
    <w:rsid w:val="00715A2C"/>
    <w:pPr>
      <w:keepNext/>
      <w:spacing w:before="120"/>
      <w:ind w:left="851" w:right="794"/>
      <w:contextualSpacing/>
    </w:pPr>
    <w:rPr>
      <w:rFonts w:eastAsia="Times New Roman" w:cs="Times New Roman"/>
    </w:rPr>
  </w:style>
  <w:style w:type="paragraph" w:customStyle="1" w:styleId="ACitationsSources">
    <w:name w:val="A_CitationsSources"/>
    <w:basedOn w:val="ACitations"/>
    <w:next w:val="Normal"/>
    <w:uiPriority w:val="99"/>
    <w:qFormat/>
    <w:rsid w:val="00715A2C"/>
    <w:pPr>
      <w:keepLines/>
      <w:spacing w:before="0" w:after="240"/>
      <w:ind w:left="0"/>
      <w:jc w:val="right"/>
    </w:pPr>
  </w:style>
  <w:style w:type="paragraph" w:customStyle="1" w:styleId="AEncadr">
    <w:name w:val="A_Encadré"/>
    <w:basedOn w:val="Caption"/>
    <w:next w:val="Normal"/>
    <w:uiPriority w:val="99"/>
    <w:qFormat/>
    <w:rsid w:val="00715A2C"/>
    <w:pPr>
      <w:spacing w:before="360"/>
    </w:pPr>
    <w:rPr>
      <w:b/>
      <w:u w:val="single"/>
    </w:rPr>
  </w:style>
  <w:style w:type="paragraph" w:styleId="Caption">
    <w:name w:val="caption"/>
    <w:aliases w:val="A_Caption"/>
    <w:basedOn w:val="Normal"/>
    <w:next w:val="Normal"/>
    <w:uiPriority w:val="99"/>
    <w:qFormat/>
    <w:rsid w:val="00715A2C"/>
    <w:pPr>
      <w:keepNext/>
      <w:spacing w:before="600"/>
      <w:contextualSpacing/>
      <w:outlineLvl w:val="0"/>
    </w:pPr>
    <w:rPr>
      <w:rFonts w:cs="Times New Roman"/>
      <w:bCs/>
      <w:i/>
      <w:szCs w:val="20"/>
    </w:rPr>
  </w:style>
  <w:style w:type="paragraph" w:customStyle="1" w:styleId="AEncadrBord">
    <w:name w:val="A_Encadré_Bord"/>
    <w:basedOn w:val="Normal"/>
    <w:next w:val="Normal"/>
    <w:uiPriority w:val="99"/>
    <w:qFormat/>
    <w:rsid w:val="00715A2C"/>
    <w:pPr>
      <w:spacing w:before="480"/>
      <w:jc w:val="center"/>
    </w:pPr>
  </w:style>
  <w:style w:type="paragraph" w:customStyle="1" w:styleId="ASources">
    <w:name w:val="A_Sources"/>
    <w:basedOn w:val="Normal"/>
    <w:uiPriority w:val="99"/>
    <w:qFormat/>
    <w:rsid w:val="00715A2C"/>
    <w:pPr>
      <w:spacing w:after="480"/>
      <w:contextualSpacing/>
    </w:pPr>
    <w:rPr>
      <w:rFonts w:eastAsia="Times New Roman" w:cs="Times New Roman"/>
      <w:sz w:val="22"/>
    </w:rPr>
  </w:style>
  <w:style w:type="paragraph" w:customStyle="1" w:styleId="ATableau">
    <w:name w:val="A_Tableau"/>
    <w:basedOn w:val="Normal"/>
    <w:next w:val="ASources"/>
    <w:uiPriority w:val="99"/>
    <w:qFormat/>
    <w:rsid w:val="00715A2C"/>
    <w:rPr>
      <w:rFonts w:cs="Times New Roman"/>
      <w:bCs/>
      <w:sz w:val="22"/>
    </w:rPr>
  </w:style>
  <w:style w:type="paragraph" w:customStyle="1" w:styleId="AT1">
    <w:name w:val="AT1"/>
    <w:basedOn w:val="Normal"/>
    <w:next w:val="Normal"/>
    <w:uiPriority w:val="99"/>
    <w:qFormat/>
    <w:rsid w:val="00715A2C"/>
    <w:pPr>
      <w:numPr>
        <w:numId w:val="8"/>
      </w:numPr>
      <w:pBdr>
        <w:top w:val="single" w:sz="4" w:space="1" w:color="auto"/>
        <w:bottom w:val="single" w:sz="4" w:space="1" w:color="auto"/>
      </w:pBdr>
      <w:spacing w:after="600"/>
      <w:ind w:right="3124"/>
      <w:contextualSpacing/>
      <w:jc w:val="center"/>
    </w:pPr>
    <w:rPr>
      <w:rFonts w:eastAsia="Times New Roman" w:cs="Times New Roman"/>
      <w:b/>
      <w:bCs/>
      <w:color w:val="F62A26"/>
      <w:sz w:val="28"/>
      <w:szCs w:val="28"/>
    </w:rPr>
  </w:style>
  <w:style w:type="paragraph" w:customStyle="1" w:styleId="AT2">
    <w:name w:val="AT2"/>
    <w:basedOn w:val="Normal"/>
    <w:next w:val="Normal"/>
    <w:uiPriority w:val="99"/>
    <w:qFormat/>
    <w:rsid w:val="00715A2C"/>
    <w:pPr>
      <w:keepNext/>
      <w:numPr>
        <w:numId w:val="9"/>
      </w:numPr>
      <w:spacing w:before="840"/>
      <w:contextualSpacing/>
    </w:pPr>
    <w:rPr>
      <w:rFonts w:eastAsia="Times New Roman" w:cs="Times New Roman"/>
      <w:b/>
      <w:bCs/>
      <w:color w:val="FF0000"/>
    </w:rPr>
  </w:style>
  <w:style w:type="paragraph" w:customStyle="1" w:styleId="AT3">
    <w:name w:val="AT3"/>
    <w:basedOn w:val="Normal"/>
    <w:next w:val="Normal"/>
    <w:uiPriority w:val="99"/>
    <w:qFormat/>
    <w:rsid w:val="00E212E7"/>
    <w:pPr>
      <w:keepNext/>
      <w:numPr>
        <w:numId w:val="24"/>
      </w:numPr>
      <w:spacing w:before="480"/>
      <w:contextualSpacing/>
    </w:pPr>
    <w:rPr>
      <w:rFonts w:eastAsia="Times New Roman" w:cs="Times New Roman"/>
      <w:b/>
      <w:bCs/>
      <w:i/>
      <w:u w:val="single"/>
      <w:lang w:eastAsia="en-US"/>
    </w:rPr>
  </w:style>
  <w:style w:type="paragraph" w:customStyle="1" w:styleId="AT5">
    <w:name w:val="AT5"/>
    <w:basedOn w:val="Normal"/>
    <w:next w:val="Normal"/>
    <w:uiPriority w:val="99"/>
    <w:qFormat/>
    <w:rsid w:val="00715A2C"/>
    <w:pPr>
      <w:spacing w:before="240"/>
    </w:pPr>
    <w:rPr>
      <w:i/>
      <w:u w:val="single"/>
    </w:rPr>
  </w:style>
  <w:style w:type="paragraph" w:customStyle="1" w:styleId="AConclusion">
    <w:name w:val="A_Conclusion"/>
    <w:basedOn w:val="Normal"/>
    <w:qFormat/>
    <w:rsid w:val="00715A2C"/>
    <w:pPr>
      <w:numPr>
        <w:numId w:val="22"/>
      </w:numPr>
      <w:spacing w:before="600" w:after="600"/>
    </w:pPr>
    <w:rPr>
      <w:rFonts w:eastAsia="Times New Roman" w:cs="Times New Roman"/>
      <w:i/>
    </w:rPr>
  </w:style>
  <w:style w:type="paragraph" w:customStyle="1" w:styleId="AT0">
    <w:name w:val="AT0"/>
    <w:basedOn w:val="Normal"/>
    <w:qFormat/>
    <w:rsid w:val="00715A2C"/>
    <w:pPr>
      <w:numPr>
        <w:numId w:val="7"/>
      </w:numPr>
      <w:pBdr>
        <w:top w:val="single" w:sz="4" w:space="1" w:color="auto"/>
        <w:bottom w:val="single" w:sz="4" w:space="1" w:color="auto"/>
      </w:pBdr>
      <w:spacing w:before="5600" w:after="5000"/>
      <w:ind w:right="2835"/>
      <w:jc w:val="center"/>
    </w:pPr>
    <w:rPr>
      <w:b/>
      <w:color w:val="FF0000"/>
      <w:sz w:val="40"/>
    </w:rPr>
  </w:style>
  <w:style w:type="character" w:customStyle="1" w:styleId="Heading2Char">
    <w:name w:val="Heading 2 Char"/>
    <w:link w:val="Heading2"/>
    <w:uiPriority w:val="99"/>
    <w:rsid w:val="00715A2C"/>
    <w:rPr>
      <w:rFonts w:ascii="Times New Roman" w:eastAsia="Arial" w:hAnsi="Times New Roman" w:cs="Arial"/>
      <w:b/>
      <w:bCs/>
      <w:color w:val="000000"/>
      <w:sz w:val="28"/>
      <w:szCs w:val="28"/>
    </w:rPr>
  </w:style>
  <w:style w:type="character" w:customStyle="1" w:styleId="Heading3Char">
    <w:name w:val="Heading 3 Char"/>
    <w:basedOn w:val="DefaultParagraphFont"/>
    <w:link w:val="Heading3"/>
    <w:uiPriority w:val="99"/>
    <w:rsid w:val="00715A2C"/>
    <w:rPr>
      <w:rFonts w:ascii="Times New Roman" w:eastAsia="Arial" w:hAnsi="Times New Roman" w:cs="Arial"/>
      <w:b/>
      <w:bCs/>
      <w:color w:val="666666"/>
    </w:rPr>
  </w:style>
  <w:style w:type="character" w:customStyle="1" w:styleId="Heading4Char">
    <w:name w:val="Heading 4 Char"/>
    <w:basedOn w:val="DefaultParagraphFont"/>
    <w:link w:val="Heading4"/>
    <w:uiPriority w:val="99"/>
    <w:rsid w:val="00715A2C"/>
    <w:rPr>
      <w:rFonts w:ascii="Times New Roman" w:eastAsia="Arial" w:hAnsi="Times New Roman" w:cs="Arial"/>
      <w:i/>
      <w:iCs/>
      <w:color w:val="666666"/>
      <w:sz w:val="22"/>
      <w:szCs w:val="22"/>
    </w:rPr>
  </w:style>
  <w:style w:type="character" w:customStyle="1" w:styleId="Heading5Char">
    <w:name w:val="Heading 5 Char"/>
    <w:basedOn w:val="DefaultParagraphFont"/>
    <w:link w:val="Heading5"/>
    <w:uiPriority w:val="99"/>
    <w:rsid w:val="00715A2C"/>
    <w:rPr>
      <w:rFonts w:ascii="Times New Roman" w:eastAsia="Arial" w:hAnsi="Times New Roman" w:cs="Arial"/>
      <w:b/>
      <w:bCs/>
      <w:color w:val="666666"/>
      <w:sz w:val="20"/>
      <w:szCs w:val="20"/>
    </w:rPr>
  </w:style>
  <w:style w:type="character" w:customStyle="1" w:styleId="Heading6Char">
    <w:name w:val="Heading 6 Char"/>
    <w:basedOn w:val="DefaultParagraphFont"/>
    <w:link w:val="Heading6"/>
    <w:uiPriority w:val="99"/>
    <w:rsid w:val="00715A2C"/>
    <w:rPr>
      <w:rFonts w:ascii="Times New Roman" w:eastAsia="Arial" w:hAnsi="Times New Roman" w:cs="Arial"/>
      <w:i/>
      <w:iCs/>
      <w:color w:val="666666"/>
      <w:sz w:val="20"/>
      <w:szCs w:val="20"/>
    </w:rPr>
  </w:style>
  <w:style w:type="character" w:customStyle="1" w:styleId="Heading7Char">
    <w:name w:val="Heading 7 Char"/>
    <w:basedOn w:val="DefaultParagraphFont"/>
    <w:link w:val="Heading7"/>
    <w:uiPriority w:val="99"/>
    <w:rsid w:val="00715A2C"/>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9"/>
    <w:rsid w:val="00715A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715A2C"/>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A869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903"/>
    <w:rPr>
      <w:rFonts w:ascii="Lucida Grande" w:eastAsia="Arial" w:hAnsi="Lucida Grande" w:cs="Lucida Grande"/>
      <w:color w:val="000000"/>
      <w:sz w:val="18"/>
      <w:szCs w:val="18"/>
    </w:rPr>
  </w:style>
  <w:style w:type="paragraph" w:styleId="Bibliography">
    <w:name w:val="Bibliography"/>
    <w:basedOn w:val="Normal"/>
    <w:next w:val="Normal"/>
    <w:uiPriority w:val="37"/>
    <w:unhideWhenUsed/>
    <w:rsid w:val="007146E7"/>
    <w:pPr>
      <w:spacing w:after="240" w:line="240" w:lineRule="auto"/>
      <w:ind w:left="720" w:hanging="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_Normal"/>
    <w:qFormat/>
    <w:rsid w:val="00715A2C"/>
    <w:pPr>
      <w:spacing w:after="120" w:line="360" w:lineRule="auto"/>
      <w:jc w:val="both"/>
    </w:pPr>
    <w:rPr>
      <w:rFonts w:ascii="Times New Roman" w:eastAsia="Arial" w:hAnsi="Times New Roman" w:cs="Arial"/>
      <w:color w:val="000000"/>
      <w:szCs w:val="22"/>
    </w:rPr>
  </w:style>
  <w:style w:type="paragraph" w:styleId="Heading1">
    <w:name w:val="heading 1"/>
    <w:basedOn w:val="Normal"/>
    <w:next w:val="Normal"/>
    <w:link w:val="Heading1Char"/>
    <w:uiPriority w:val="99"/>
    <w:rsid w:val="00715A2C"/>
    <w:pPr>
      <w:numPr>
        <w:numId w:val="21"/>
      </w:numPr>
      <w:spacing w:before="480"/>
      <w:outlineLvl w:val="0"/>
    </w:pPr>
    <w:rPr>
      <w:b/>
      <w:bCs/>
      <w:sz w:val="36"/>
      <w:szCs w:val="36"/>
    </w:rPr>
  </w:style>
  <w:style w:type="paragraph" w:styleId="Heading2">
    <w:name w:val="heading 2"/>
    <w:basedOn w:val="Normal"/>
    <w:next w:val="Normal"/>
    <w:link w:val="Heading2Char"/>
    <w:uiPriority w:val="99"/>
    <w:rsid w:val="00715A2C"/>
    <w:pPr>
      <w:numPr>
        <w:ilvl w:val="1"/>
        <w:numId w:val="21"/>
      </w:numPr>
      <w:spacing w:before="360" w:after="80"/>
      <w:outlineLvl w:val="1"/>
    </w:pPr>
    <w:rPr>
      <w:b/>
      <w:bCs/>
      <w:sz w:val="28"/>
      <w:szCs w:val="28"/>
    </w:rPr>
  </w:style>
  <w:style w:type="paragraph" w:styleId="Heading3">
    <w:name w:val="heading 3"/>
    <w:basedOn w:val="Normal"/>
    <w:next w:val="Normal"/>
    <w:link w:val="Heading3Char"/>
    <w:uiPriority w:val="99"/>
    <w:qFormat/>
    <w:rsid w:val="00715A2C"/>
    <w:pPr>
      <w:numPr>
        <w:ilvl w:val="2"/>
        <w:numId w:val="21"/>
      </w:numPr>
      <w:spacing w:before="280" w:after="80"/>
      <w:outlineLvl w:val="2"/>
    </w:pPr>
    <w:rPr>
      <w:b/>
      <w:bCs/>
      <w:color w:val="666666"/>
    </w:rPr>
  </w:style>
  <w:style w:type="paragraph" w:styleId="Heading4">
    <w:name w:val="heading 4"/>
    <w:basedOn w:val="Normal"/>
    <w:next w:val="Normal"/>
    <w:link w:val="Heading4Char"/>
    <w:uiPriority w:val="99"/>
    <w:qFormat/>
    <w:rsid w:val="00715A2C"/>
    <w:pPr>
      <w:numPr>
        <w:ilvl w:val="3"/>
        <w:numId w:val="21"/>
      </w:numPr>
      <w:spacing w:before="240" w:after="40"/>
      <w:outlineLvl w:val="3"/>
    </w:pPr>
    <w:rPr>
      <w:i/>
      <w:iCs/>
      <w:color w:val="666666"/>
      <w:sz w:val="22"/>
    </w:rPr>
  </w:style>
  <w:style w:type="paragraph" w:styleId="Heading5">
    <w:name w:val="heading 5"/>
    <w:basedOn w:val="Normal"/>
    <w:next w:val="Normal"/>
    <w:link w:val="Heading5Char"/>
    <w:uiPriority w:val="99"/>
    <w:qFormat/>
    <w:rsid w:val="00715A2C"/>
    <w:pPr>
      <w:numPr>
        <w:ilvl w:val="4"/>
        <w:numId w:val="21"/>
      </w:numPr>
      <w:spacing w:before="220" w:after="40"/>
      <w:outlineLvl w:val="4"/>
    </w:pPr>
    <w:rPr>
      <w:b/>
      <w:bCs/>
      <w:color w:val="666666"/>
      <w:sz w:val="20"/>
      <w:szCs w:val="20"/>
    </w:rPr>
  </w:style>
  <w:style w:type="paragraph" w:styleId="Heading6">
    <w:name w:val="heading 6"/>
    <w:basedOn w:val="Normal"/>
    <w:next w:val="Normal"/>
    <w:link w:val="Heading6Char"/>
    <w:uiPriority w:val="99"/>
    <w:rsid w:val="00715A2C"/>
    <w:pPr>
      <w:numPr>
        <w:ilvl w:val="5"/>
        <w:numId w:val="21"/>
      </w:numPr>
      <w:spacing w:before="200" w:after="40"/>
      <w:outlineLvl w:val="5"/>
    </w:pPr>
    <w:rPr>
      <w:i/>
      <w:iCs/>
      <w:color w:val="666666"/>
      <w:sz w:val="20"/>
      <w:szCs w:val="20"/>
    </w:rPr>
  </w:style>
  <w:style w:type="paragraph" w:styleId="Heading7">
    <w:name w:val="heading 7"/>
    <w:basedOn w:val="Normal"/>
    <w:next w:val="Normal"/>
    <w:link w:val="Heading7Char"/>
    <w:uiPriority w:val="99"/>
    <w:unhideWhenUsed/>
    <w:qFormat/>
    <w:rsid w:val="00715A2C"/>
    <w:pPr>
      <w:keepNext/>
      <w:keepLines/>
      <w:numPr>
        <w:ilvl w:val="6"/>
        <w:numId w:val="2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unhideWhenUsed/>
    <w:qFormat/>
    <w:rsid w:val="00715A2C"/>
    <w:pPr>
      <w:keepNext/>
      <w:keepLines/>
      <w:numPr>
        <w:ilvl w:val="7"/>
        <w:numId w:val="2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unhideWhenUsed/>
    <w:rsid w:val="00715A2C"/>
    <w:pPr>
      <w:keepNext/>
      <w:keepLines/>
      <w:numPr>
        <w:ilvl w:val="8"/>
        <w:numId w:val="2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715A2C"/>
    <w:rPr>
      <w:rFonts w:ascii="Times New Roman" w:eastAsia="Arial" w:hAnsi="Times New Roman" w:cs="Arial"/>
      <w:b/>
      <w:bCs/>
      <w:color w:val="000000"/>
      <w:sz w:val="36"/>
      <w:szCs w:val="36"/>
    </w:rPr>
  </w:style>
  <w:style w:type="paragraph" w:customStyle="1" w:styleId="AT4">
    <w:name w:val="AT4"/>
    <w:basedOn w:val="AT3"/>
    <w:next w:val="Normal"/>
    <w:uiPriority w:val="99"/>
    <w:qFormat/>
    <w:rsid w:val="00715A2C"/>
    <w:pPr>
      <w:numPr>
        <w:ilvl w:val="2"/>
        <w:numId w:val="12"/>
      </w:numPr>
    </w:pPr>
    <w:rPr>
      <w:b w:val="0"/>
    </w:rPr>
  </w:style>
  <w:style w:type="paragraph" w:customStyle="1" w:styleId="AT6">
    <w:name w:val="AT6"/>
    <w:basedOn w:val="AT5"/>
    <w:next w:val="Normal"/>
    <w:autoRedefine/>
    <w:uiPriority w:val="99"/>
    <w:qFormat/>
    <w:rsid w:val="00715A2C"/>
  </w:style>
  <w:style w:type="paragraph" w:customStyle="1" w:styleId="ACitations">
    <w:name w:val="A_Citations"/>
    <w:basedOn w:val="Normal"/>
    <w:next w:val="Normal"/>
    <w:uiPriority w:val="99"/>
    <w:qFormat/>
    <w:rsid w:val="00715A2C"/>
    <w:pPr>
      <w:keepNext/>
      <w:spacing w:before="120"/>
      <w:ind w:left="851" w:right="794"/>
      <w:contextualSpacing/>
    </w:pPr>
    <w:rPr>
      <w:rFonts w:eastAsia="Times New Roman" w:cs="Times New Roman"/>
    </w:rPr>
  </w:style>
  <w:style w:type="paragraph" w:customStyle="1" w:styleId="ACitationsSources">
    <w:name w:val="A_CitationsSources"/>
    <w:basedOn w:val="ACitations"/>
    <w:next w:val="Normal"/>
    <w:uiPriority w:val="99"/>
    <w:qFormat/>
    <w:rsid w:val="00715A2C"/>
    <w:pPr>
      <w:keepLines/>
      <w:spacing w:before="0" w:after="240"/>
      <w:ind w:left="0"/>
      <w:jc w:val="right"/>
    </w:pPr>
  </w:style>
  <w:style w:type="paragraph" w:customStyle="1" w:styleId="AEncadr">
    <w:name w:val="A_Encadré"/>
    <w:basedOn w:val="Caption"/>
    <w:next w:val="Normal"/>
    <w:uiPriority w:val="99"/>
    <w:qFormat/>
    <w:rsid w:val="00715A2C"/>
    <w:pPr>
      <w:spacing w:before="360"/>
    </w:pPr>
    <w:rPr>
      <w:b/>
      <w:u w:val="single"/>
    </w:rPr>
  </w:style>
  <w:style w:type="paragraph" w:styleId="Caption">
    <w:name w:val="caption"/>
    <w:aliases w:val="A_Caption"/>
    <w:basedOn w:val="Normal"/>
    <w:next w:val="Normal"/>
    <w:uiPriority w:val="99"/>
    <w:qFormat/>
    <w:rsid w:val="00715A2C"/>
    <w:pPr>
      <w:keepNext/>
      <w:spacing w:before="600"/>
      <w:contextualSpacing/>
      <w:outlineLvl w:val="0"/>
    </w:pPr>
    <w:rPr>
      <w:rFonts w:cs="Times New Roman"/>
      <w:bCs/>
      <w:i/>
      <w:szCs w:val="20"/>
    </w:rPr>
  </w:style>
  <w:style w:type="paragraph" w:customStyle="1" w:styleId="AEncadrBord">
    <w:name w:val="A_Encadré_Bord"/>
    <w:basedOn w:val="Normal"/>
    <w:next w:val="Normal"/>
    <w:uiPriority w:val="99"/>
    <w:qFormat/>
    <w:rsid w:val="00715A2C"/>
    <w:pPr>
      <w:spacing w:before="480"/>
      <w:jc w:val="center"/>
    </w:pPr>
  </w:style>
  <w:style w:type="paragraph" w:customStyle="1" w:styleId="ASources">
    <w:name w:val="A_Sources"/>
    <w:basedOn w:val="Normal"/>
    <w:uiPriority w:val="99"/>
    <w:qFormat/>
    <w:rsid w:val="00715A2C"/>
    <w:pPr>
      <w:spacing w:after="480"/>
      <w:contextualSpacing/>
    </w:pPr>
    <w:rPr>
      <w:rFonts w:eastAsia="Times New Roman" w:cs="Times New Roman"/>
      <w:sz w:val="22"/>
    </w:rPr>
  </w:style>
  <w:style w:type="paragraph" w:customStyle="1" w:styleId="ATableau">
    <w:name w:val="A_Tableau"/>
    <w:basedOn w:val="Normal"/>
    <w:next w:val="ASources"/>
    <w:uiPriority w:val="99"/>
    <w:qFormat/>
    <w:rsid w:val="00715A2C"/>
    <w:rPr>
      <w:rFonts w:cs="Times New Roman"/>
      <w:bCs/>
      <w:sz w:val="22"/>
    </w:rPr>
  </w:style>
  <w:style w:type="paragraph" w:customStyle="1" w:styleId="AT1">
    <w:name w:val="AT1"/>
    <w:basedOn w:val="Normal"/>
    <w:next w:val="Normal"/>
    <w:uiPriority w:val="99"/>
    <w:qFormat/>
    <w:rsid w:val="00715A2C"/>
    <w:pPr>
      <w:numPr>
        <w:numId w:val="8"/>
      </w:numPr>
      <w:pBdr>
        <w:top w:val="single" w:sz="4" w:space="1" w:color="auto"/>
        <w:bottom w:val="single" w:sz="4" w:space="1" w:color="auto"/>
      </w:pBdr>
      <w:spacing w:after="600"/>
      <w:ind w:right="3124"/>
      <w:contextualSpacing/>
      <w:jc w:val="center"/>
    </w:pPr>
    <w:rPr>
      <w:rFonts w:eastAsia="Times New Roman" w:cs="Times New Roman"/>
      <w:b/>
      <w:bCs/>
      <w:color w:val="F62A26"/>
      <w:sz w:val="28"/>
      <w:szCs w:val="28"/>
    </w:rPr>
  </w:style>
  <w:style w:type="paragraph" w:customStyle="1" w:styleId="AT2">
    <w:name w:val="AT2"/>
    <w:basedOn w:val="Normal"/>
    <w:next w:val="Normal"/>
    <w:uiPriority w:val="99"/>
    <w:qFormat/>
    <w:rsid w:val="00715A2C"/>
    <w:pPr>
      <w:keepNext/>
      <w:numPr>
        <w:numId w:val="9"/>
      </w:numPr>
      <w:spacing w:before="840"/>
      <w:contextualSpacing/>
    </w:pPr>
    <w:rPr>
      <w:rFonts w:eastAsia="Times New Roman" w:cs="Times New Roman"/>
      <w:b/>
      <w:bCs/>
      <w:color w:val="FF0000"/>
    </w:rPr>
  </w:style>
  <w:style w:type="paragraph" w:customStyle="1" w:styleId="AT3">
    <w:name w:val="AT3"/>
    <w:basedOn w:val="Normal"/>
    <w:next w:val="Normal"/>
    <w:uiPriority w:val="99"/>
    <w:qFormat/>
    <w:rsid w:val="00E212E7"/>
    <w:pPr>
      <w:keepNext/>
      <w:numPr>
        <w:numId w:val="24"/>
      </w:numPr>
      <w:spacing w:before="480"/>
      <w:contextualSpacing/>
    </w:pPr>
    <w:rPr>
      <w:rFonts w:eastAsia="Times New Roman" w:cs="Times New Roman"/>
      <w:b/>
      <w:bCs/>
      <w:i/>
      <w:u w:val="single"/>
      <w:lang w:eastAsia="en-US"/>
    </w:rPr>
  </w:style>
  <w:style w:type="paragraph" w:customStyle="1" w:styleId="AT5">
    <w:name w:val="AT5"/>
    <w:basedOn w:val="Normal"/>
    <w:next w:val="Normal"/>
    <w:uiPriority w:val="99"/>
    <w:qFormat/>
    <w:rsid w:val="00715A2C"/>
    <w:pPr>
      <w:spacing w:before="240"/>
    </w:pPr>
    <w:rPr>
      <w:i/>
      <w:u w:val="single"/>
    </w:rPr>
  </w:style>
  <w:style w:type="paragraph" w:customStyle="1" w:styleId="AConclusion">
    <w:name w:val="A_Conclusion"/>
    <w:basedOn w:val="Normal"/>
    <w:qFormat/>
    <w:rsid w:val="00715A2C"/>
    <w:pPr>
      <w:numPr>
        <w:numId w:val="22"/>
      </w:numPr>
      <w:spacing w:before="600" w:after="600"/>
    </w:pPr>
    <w:rPr>
      <w:rFonts w:eastAsia="Times New Roman" w:cs="Times New Roman"/>
      <w:i/>
    </w:rPr>
  </w:style>
  <w:style w:type="paragraph" w:customStyle="1" w:styleId="AT0">
    <w:name w:val="AT0"/>
    <w:basedOn w:val="Normal"/>
    <w:qFormat/>
    <w:rsid w:val="00715A2C"/>
    <w:pPr>
      <w:numPr>
        <w:numId w:val="7"/>
      </w:numPr>
      <w:pBdr>
        <w:top w:val="single" w:sz="4" w:space="1" w:color="auto"/>
        <w:bottom w:val="single" w:sz="4" w:space="1" w:color="auto"/>
      </w:pBdr>
      <w:spacing w:before="5600" w:after="5000"/>
      <w:ind w:right="2835"/>
      <w:jc w:val="center"/>
    </w:pPr>
    <w:rPr>
      <w:b/>
      <w:color w:val="FF0000"/>
      <w:sz w:val="40"/>
    </w:rPr>
  </w:style>
  <w:style w:type="character" w:customStyle="1" w:styleId="Heading2Char">
    <w:name w:val="Heading 2 Char"/>
    <w:link w:val="Heading2"/>
    <w:uiPriority w:val="99"/>
    <w:rsid w:val="00715A2C"/>
    <w:rPr>
      <w:rFonts w:ascii="Times New Roman" w:eastAsia="Arial" w:hAnsi="Times New Roman" w:cs="Arial"/>
      <w:b/>
      <w:bCs/>
      <w:color w:val="000000"/>
      <w:sz w:val="28"/>
      <w:szCs w:val="28"/>
    </w:rPr>
  </w:style>
  <w:style w:type="character" w:customStyle="1" w:styleId="Heading3Char">
    <w:name w:val="Heading 3 Char"/>
    <w:basedOn w:val="DefaultParagraphFont"/>
    <w:link w:val="Heading3"/>
    <w:uiPriority w:val="99"/>
    <w:rsid w:val="00715A2C"/>
    <w:rPr>
      <w:rFonts w:ascii="Times New Roman" w:eastAsia="Arial" w:hAnsi="Times New Roman" w:cs="Arial"/>
      <w:b/>
      <w:bCs/>
      <w:color w:val="666666"/>
    </w:rPr>
  </w:style>
  <w:style w:type="character" w:customStyle="1" w:styleId="Heading4Char">
    <w:name w:val="Heading 4 Char"/>
    <w:basedOn w:val="DefaultParagraphFont"/>
    <w:link w:val="Heading4"/>
    <w:uiPriority w:val="99"/>
    <w:rsid w:val="00715A2C"/>
    <w:rPr>
      <w:rFonts w:ascii="Times New Roman" w:eastAsia="Arial" w:hAnsi="Times New Roman" w:cs="Arial"/>
      <w:i/>
      <w:iCs/>
      <w:color w:val="666666"/>
      <w:sz w:val="22"/>
      <w:szCs w:val="22"/>
    </w:rPr>
  </w:style>
  <w:style w:type="character" w:customStyle="1" w:styleId="Heading5Char">
    <w:name w:val="Heading 5 Char"/>
    <w:basedOn w:val="DefaultParagraphFont"/>
    <w:link w:val="Heading5"/>
    <w:uiPriority w:val="99"/>
    <w:rsid w:val="00715A2C"/>
    <w:rPr>
      <w:rFonts w:ascii="Times New Roman" w:eastAsia="Arial" w:hAnsi="Times New Roman" w:cs="Arial"/>
      <w:b/>
      <w:bCs/>
      <w:color w:val="666666"/>
      <w:sz w:val="20"/>
      <w:szCs w:val="20"/>
    </w:rPr>
  </w:style>
  <w:style w:type="character" w:customStyle="1" w:styleId="Heading6Char">
    <w:name w:val="Heading 6 Char"/>
    <w:basedOn w:val="DefaultParagraphFont"/>
    <w:link w:val="Heading6"/>
    <w:uiPriority w:val="99"/>
    <w:rsid w:val="00715A2C"/>
    <w:rPr>
      <w:rFonts w:ascii="Times New Roman" w:eastAsia="Arial" w:hAnsi="Times New Roman" w:cs="Arial"/>
      <w:i/>
      <w:iCs/>
      <w:color w:val="666666"/>
      <w:sz w:val="20"/>
      <w:szCs w:val="20"/>
    </w:rPr>
  </w:style>
  <w:style w:type="character" w:customStyle="1" w:styleId="Heading7Char">
    <w:name w:val="Heading 7 Char"/>
    <w:basedOn w:val="DefaultParagraphFont"/>
    <w:link w:val="Heading7"/>
    <w:uiPriority w:val="99"/>
    <w:rsid w:val="00715A2C"/>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9"/>
    <w:rsid w:val="00715A2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rsid w:val="00715A2C"/>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A8690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6903"/>
    <w:rPr>
      <w:rFonts w:ascii="Lucida Grande" w:eastAsia="Arial" w:hAnsi="Lucida Grande" w:cs="Lucida Grande"/>
      <w:color w:val="000000"/>
      <w:sz w:val="18"/>
      <w:szCs w:val="18"/>
    </w:rPr>
  </w:style>
  <w:style w:type="paragraph" w:styleId="Bibliography">
    <w:name w:val="Bibliography"/>
    <w:basedOn w:val="Normal"/>
    <w:next w:val="Normal"/>
    <w:uiPriority w:val="37"/>
    <w:unhideWhenUsed/>
    <w:rsid w:val="007146E7"/>
    <w:pPr>
      <w:spacing w:after="24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4231</Words>
  <Characters>24120</Characters>
  <Application>Microsoft Macintosh Word</Application>
  <DocSecurity>0</DocSecurity>
  <Lines>201</Lines>
  <Paragraphs>56</Paragraphs>
  <ScaleCrop>false</ScaleCrop>
  <Company>Université Paris-Est, LATTS</Company>
  <LinksUpToDate>false</LinksUpToDate>
  <CharactersWithSpaces>28295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 Halbert</dc:creator>
  <cp:keywords/>
  <dc:description/>
  <cp:lastModifiedBy>Ludovic Halbert</cp:lastModifiedBy>
  <cp:revision>4</cp:revision>
  <dcterms:created xsi:type="dcterms:W3CDTF">2015-10-19T06:54:00Z</dcterms:created>
  <dcterms:modified xsi:type="dcterms:W3CDTF">2015-10-19T07:01:00Z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id="NZJkjIzm"/&gt;&lt;style id="http://www.zotero.org/styles/urban-studies" hasBibliography="1" bibliographyStyleHasBeenSet="1"/&gt;&lt;prefs&gt;&lt;pref name="fieldType" value="Field"/&gt;&lt;pref name="storeReferences" </vt:lpwstr>
  </property>
  <property fmtid="{D5CDD505-2E9C-101B-9397-08002B2CF9AE}" pid="3" name="ZOTERO_PREF_2">
    <vt:lpwstr>value="true"/&gt;&lt;pref name="automaticJournalAbbreviations" value="true"/&gt;&lt;pref name="noteType" value=""/&gt;&lt;/prefs&gt;&lt;/data&gt;</vt:lpwstr>
  </property>
</Properties>
</file>