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6B1BA8" w14:textId="1AE01C96" w:rsidR="00862483" w:rsidRPr="00E12DE1" w:rsidRDefault="003E6A4A" w:rsidP="00EA100F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  <w:r w:rsidRPr="00E12DE1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Planning and </w:t>
      </w:r>
      <w:proofErr w:type="spellStart"/>
      <w:r w:rsidRPr="00E12DE1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Peri</w:t>
      </w:r>
      <w:proofErr w:type="spellEnd"/>
      <w:r w:rsidRPr="00E12DE1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-urban spaces – a case study</w:t>
      </w:r>
    </w:p>
    <w:p w14:paraId="22B55A58" w14:textId="77777777" w:rsidR="003E6A4A" w:rsidRPr="00E12DE1" w:rsidRDefault="003E6A4A" w:rsidP="00EA10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</w:pPr>
    </w:p>
    <w:p w14:paraId="7910AAB5" w14:textId="4838A172" w:rsidR="00471365" w:rsidRPr="00E12DE1" w:rsidRDefault="00DE3E7A" w:rsidP="00EA10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</w:pPr>
      <w:r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The current </w:t>
      </w:r>
      <w:r w:rsidR="00D8736A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B</w:t>
      </w:r>
      <w:r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razilian urban landscape is not very attractive</w:t>
      </w:r>
      <w:r w:rsidR="00862483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, </w:t>
      </w:r>
      <w:r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be it because of the high costs of living associated with housing, as well as</w:t>
      </w:r>
      <w:r w:rsidR="00A3794A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transport</w:t>
      </w:r>
      <w:r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ation</w:t>
      </w:r>
      <w:r w:rsidR="00A3794A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between cities</w:t>
      </w:r>
      <w:r w:rsidR="00636ABB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, </w:t>
      </w:r>
      <w:r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or because of</w:t>
      </w:r>
      <w:r w:rsidR="00636ABB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</w:t>
      </w:r>
      <w:r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the worsening quality of life. Due to these negative circumstances</w:t>
      </w:r>
      <w:r w:rsidR="00636ABB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and the</w:t>
      </w:r>
      <w:r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presence of a strong regional network of highways</w:t>
      </w:r>
      <w:r w:rsidR="00937EEB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, </w:t>
      </w:r>
      <w:r w:rsidR="00636ABB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rural spaces </w:t>
      </w:r>
      <w:r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are becoming</w:t>
      </w:r>
      <w:r w:rsidR="00636ABB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more</w:t>
      </w:r>
      <w:r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and more attractive for</w:t>
      </w:r>
      <w:r w:rsidR="00FB3B3A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people who live</w:t>
      </w:r>
      <w:r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and work</w:t>
      </w:r>
      <w:r w:rsidR="00FB3B3A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</w:t>
      </w:r>
      <w:r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in metropolitan areas</w:t>
      </w:r>
      <w:r w:rsidR="00FB3B3A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, creating regional decentralization among people and operation</w:t>
      </w:r>
      <w:r w:rsidR="00937EEB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s</w:t>
      </w:r>
      <w:r w:rsidR="00FB3B3A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, allowing </w:t>
      </w:r>
      <w:r w:rsidR="00471365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new forms of living </w:t>
      </w:r>
      <w:r w:rsidR="00FB3B3A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in rural areas</w:t>
      </w:r>
      <w:r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that are more and more urban. </w:t>
      </w:r>
    </w:p>
    <w:p w14:paraId="0F71E82E" w14:textId="77777777" w:rsidR="00DE3E7A" w:rsidRPr="00E12DE1" w:rsidRDefault="00DE3E7A" w:rsidP="00EA10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</w:pPr>
    </w:p>
    <w:p w14:paraId="29B5EBE8" w14:textId="011CC831" w:rsidR="00937EEB" w:rsidRPr="00E12DE1" w:rsidRDefault="00937EEB" w:rsidP="00EA10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</w:pPr>
      <w:r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The urban diffusion or </w:t>
      </w:r>
      <w:proofErr w:type="spellStart"/>
      <w:r w:rsidR="006A7B31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metropolization</w:t>
      </w:r>
      <w:proofErr w:type="spellEnd"/>
      <w:r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of </w:t>
      </w:r>
      <w:r w:rsidR="00DE3E7A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territories </w:t>
      </w:r>
      <w:r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(INDOVINA, 1998) i</w:t>
      </w:r>
      <w:r w:rsidR="006A7B31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s relatively new to</w:t>
      </w:r>
      <w:r w:rsidR="0025598B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Brazil, as exemplified by medium-sized cities </w:t>
      </w:r>
      <w:r w:rsidR="00751049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(AMORIM 2007, AMORIM, RIG</w:t>
      </w:r>
      <w:r w:rsidR="0025598B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OTTI, CAMPOS 2007) as strategic players in this </w:t>
      </w:r>
      <w:r w:rsidR="00E767A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phenomenon, </w:t>
      </w:r>
      <w:r w:rsidR="0025598B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due to the high adaptability of the individual characteristics of each region </w:t>
      </w:r>
      <w:r w:rsidR="00751049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(CONTI, 2013).</w:t>
      </w:r>
    </w:p>
    <w:p w14:paraId="4327E1FF" w14:textId="77777777" w:rsidR="0025598B" w:rsidRPr="00E12DE1" w:rsidRDefault="0025598B" w:rsidP="00EA10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</w:pPr>
    </w:p>
    <w:p w14:paraId="6C15CEBF" w14:textId="1E1913C6" w:rsidR="008105A3" w:rsidRPr="00E12DE1" w:rsidRDefault="009E33A9" w:rsidP="00EA100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These new processes</w:t>
      </w:r>
      <w:r w:rsidR="00DB1A6C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transfo</w:t>
      </w:r>
      <w:r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rm and redefine</w:t>
      </w:r>
      <w:r w:rsidR="006A7B31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</w:t>
      </w:r>
      <w:r w:rsidR="008105A3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transport</w:t>
      </w:r>
      <w:r w:rsidR="0025598B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ation</w:t>
      </w:r>
      <w:r w:rsidR="008105A3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</w:t>
      </w:r>
      <w:r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patterns</w:t>
      </w:r>
      <w:r w:rsidR="00DB1A6C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, </w:t>
      </w:r>
      <w:r w:rsidR="0025598B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housing options,</w:t>
      </w:r>
      <w:r w:rsidR="00DB1A6C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</w:t>
      </w:r>
      <w:r w:rsidR="006A7B31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as well as </w:t>
      </w:r>
      <w:r w:rsidR="00DB1A6C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the localization of the pro</w:t>
      </w:r>
      <w:r w:rsidR="0025598B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ductive, commercial and service</w:t>
      </w:r>
      <w:r w:rsidR="00DB1A6C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sectors,</w:t>
      </w:r>
      <w:r w:rsidR="0025598B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in addition to the reasons and tendencies associated with the territorial distribution of </w:t>
      </w:r>
      <w:proofErr w:type="spellStart"/>
      <w:r w:rsidR="0025598B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peri</w:t>
      </w:r>
      <w:proofErr w:type="spellEnd"/>
      <w:r w:rsidR="006A7B31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-</w:t>
      </w:r>
      <w:r w:rsidR="005454E6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urban areas </w:t>
      </w:r>
      <w:r w:rsidR="005454E6" w:rsidRPr="00E12DE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(</w:t>
      </w:r>
      <w:r w:rsidR="002466B8" w:rsidRPr="00E12DE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CICCOLELLA</w:t>
      </w:r>
      <w:r w:rsidR="005454E6" w:rsidRPr="00E12DE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 2012).</w:t>
      </w:r>
    </w:p>
    <w:p w14:paraId="1BA970CC" w14:textId="77777777" w:rsidR="0025598B" w:rsidRPr="00E12DE1" w:rsidRDefault="0025598B" w:rsidP="00EA10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</w:pPr>
    </w:p>
    <w:p w14:paraId="4E58FBE1" w14:textId="0AF61989" w:rsidR="009E33A9" w:rsidRPr="00E12DE1" w:rsidRDefault="009E33A9" w:rsidP="00EA10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</w:pPr>
      <w:r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In this new reality, there’s a gap </w:t>
      </w:r>
      <w:r w:rsidR="00BA7266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between the urban diffusion of the territory</w:t>
      </w:r>
      <w:r w:rsidR="00134163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,</w:t>
      </w:r>
      <w:r w:rsidR="00BA7266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and the instruments of local and regi</w:t>
      </w:r>
      <w:r w:rsidR="006A7B31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onal planning and</w:t>
      </w:r>
      <w:r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land use. T</w:t>
      </w:r>
      <w:r w:rsidR="00134163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hese tools</w:t>
      </w:r>
      <w:r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have not </w:t>
      </w:r>
      <w:r w:rsidR="006A7B31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yet succeeded in assimilating</w:t>
      </w:r>
      <w:r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the changes in course that have presented themselves in the absence of urban strategies that take into account both the transformation of this space</w:t>
      </w:r>
      <w:r w:rsidR="006A7B31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,</w:t>
      </w:r>
      <w:r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as well as the absence of regulatory instruments.</w:t>
      </w:r>
    </w:p>
    <w:p w14:paraId="46C3C24D" w14:textId="77777777" w:rsidR="009E33A9" w:rsidRPr="00E12DE1" w:rsidRDefault="009E33A9" w:rsidP="00EA10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</w:pPr>
    </w:p>
    <w:p w14:paraId="5F01DC76" w14:textId="6CA2EF84" w:rsidR="009E33A9" w:rsidRPr="00E12DE1" w:rsidRDefault="00C02C83" w:rsidP="00EA10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</w:pPr>
      <w:r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The hypothesis of this study </w:t>
      </w:r>
      <w:r w:rsidR="009E33A9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argues that the main</w:t>
      </w:r>
      <w:r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tendency of the </w:t>
      </w:r>
      <w:r w:rsidR="009E33A9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process of urban growth in </w:t>
      </w:r>
      <w:proofErr w:type="spellStart"/>
      <w:r w:rsidR="009E33A9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peri</w:t>
      </w:r>
      <w:proofErr w:type="spellEnd"/>
      <w:r w:rsidR="006A7B31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-</w:t>
      </w:r>
      <w:r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urban </w:t>
      </w:r>
      <w:r w:rsidR="00BF3905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areas</w:t>
      </w:r>
      <w:r w:rsidR="009E33A9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is tied to the </w:t>
      </w:r>
      <w:r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logic</w:t>
      </w:r>
      <w:r w:rsidR="004D6248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of </w:t>
      </w:r>
      <w:r w:rsidR="009E33A9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the very market that takes advantage of the pressures of urbanization, and above all, of the inadequacy of </w:t>
      </w:r>
      <w:r w:rsidR="006A7B31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the regulations as well as </w:t>
      </w:r>
      <w:r w:rsidR="00AC458F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urban and regional planning</w:t>
      </w:r>
      <w:r w:rsidR="006A7B31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at a regional scale. </w:t>
      </w:r>
    </w:p>
    <w:p w14:paraId="6573888F" w14:textId="77777777" w:rsidR="009E33A9" w:rsidRPr="00E12DE1" w:rsidRDefault="009E33A9" w:rsidP="00EA10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</w:pPr>
    </w:p>
    <w:p w14:paraId="1C4AD328" w14:textId="73519755" w:rsidR="004D6248" w:rsidRPr="00E12DE1" w:rsidRDefault="00AC458F" w:rsidP="00EA10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</w:pPr>
      <w:r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These processes should be </w:t>
      </w:r>
      <w:r w:rsidR="00C960A2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explored</w:t>
      </w:r>
      <w:r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in order to </w:t>
      </w:r>
      <w:r w:rsidR="00C960A2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foster</w:t>
      </w:r>
      <w:r w:rsidR="007958BA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the ela</w:t>
      </w:r>
      <w:r w:rsidR="00C960A2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boration of development and land use plans that are </w:t>
      </w:r>
      <w:r w:rsidR="007958BA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capable of establish</w:t>
      </w:r>
      <w:r w:rsidR="00C960A2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ing</w:t>
      </w:r>
      <w:r w:rsidR="007958BA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t</w:t>
      </w:r>
      <w:r w:rsidR="00C960A2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erritorial control, and to update and adapt standard</w:t>
      </w:r>
      <w:r w:rsidR="00CB380F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urban instruments on a local level. </w:t>
      </w:r>
    </w:p>
    <w:p w14:paraId="7D936D02" w14:textId="77777777" w:rsidR="00AC458F" w:rsidRPr="00E12DE1" w:rsidRDefault="00AC458F" w:rsidP="00EA10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</w:pPr>
    </w:p>
    <w:p w14:paraId="1BC9F0DF" w14:textId="77777777" w:rsidR="007958BA" w:rsidRPr="00E12DE1" w:rsidRDefault="002C5DE7" w:rsidP="00EA10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</w:pPr>
      <w:r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The case study is located between two of the three cities that </w:t>
      </w:r>
      <w:r w:rsidR="00A26B88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belong</w:t>
      </w:r>
      <w:r w:rsidR="00C960A2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to the cluster composed of the</w:t>
      </w:r>
      <w:r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cities of </w:t>
      </w:r>
      <w:proofErr w:type="spellStart"/>
      <w:r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Ouro</w:t>
      </w:r>
      <w:proofErr w:type="spellEnd"/>
      <w:r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</w:t>
      </w:r>
      <w:proofErr w:type="spellStart"/>
      <w:r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Preto</w:t>
      </w:r>
      <w:proofErr w:type="spellEnd"/>
      <w:r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, Mariana</w:t>
      </w:r>
      <w:r w:rsidR="00C960A2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, and </w:t>
      </w:r>
      <w:proofErr w:type="spellStart"/>
      <w:r w:rsidR="00C960A2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Itabirito</w:t>
      </w:r>
      <w:proofErr w:type="spellEnd"/>
      <w:r w:rsidR="00C960A2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, which</w:t>
      </w:r>
      <w:r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</w:t>
      </w:r>
      <w:r w:rsidR="00C960A2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compose</w:t>
      </w:r>
      <w:r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the</w:t>
      </w:r>
      <w:r w:rsidR="00C960A2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central sub-region of the east/ </w:t>
      </w:r>
      <w:r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southwest region of the </w:t>
      </w:r>
      <w:proofErr w:type="spellStart"/>
      <w:r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perimetropolitan</w:t>
      </w:r>
      <w:proofErr w:type="spellEnd"/>
      <w:r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region of Belo Horizonte. </w:t>
      </w:r>
      <w:r w:rsidR="000639F3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This space is </w:t>
      </w:r>
      <w:r w:rsidR="00C960A2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framed</w:t>
      </w:r>
      <w:r w:rsidR="000639F3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by the 356 road and has </w:t>
      </w:r>
      <w:r w:rsidR="00C960A2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an ample amount of</w:t>
      </w:r>
      <w:r w:rsidR="000639F3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urban settlements in</w:t>
      </w:r>
      <w:r w:rsidR="00C960A2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this 29 kilometer stretch</w:t>
      </w:r>
      <w:r w:rsidR="000639F3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. </w:t>
      </w:r>
      <w:r w:rsidR="00C960A2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On this stretch, </w:t>
      </w:r>
      <w:r w:rsidR="000639F3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7 significant urbanizations</w:t>
      </w:r>
      <w:r w:rsidR="00C960A2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are found,</w:t>
      </w:r>
      <w:r w:rsidR="000639F3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belonging</w:t>
      </w:r>
      <w:r w:rsidR="00C960A2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to the cities of </w:t>
      </w:r>
      <w:proofErr w:type="spellStart"/>
      <w:r w:rsidR="00C960A2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Ouro</w:t>
      </w:r>
      <w:proofErr w:type="spellEnd"/>
      <w:r w:rsidR="00C960A2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</w:t>
      </w:r>
      <w:proofErr w:type="spellStart"/>
      <w:r w:rsidR="00C960A2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Preto</w:t>
      </w:r>
      <w:proofErr w:type="spellEnd"/>
      <w:r w:rsidR="00C960A2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,</w:t>
      </w:r>
      <w:r w:rsidR="000639F3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</w:t>
      </w:r>
      <w:proofErr w:type="spellStart"/>
      <w:r w:rsidR="000639F3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Itabirito</w:t>
      </w:r>
      <w:proofErr w:type="spellEnd"/>
      <w:r w:rsidR="00C960A2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, as well as</w:t>
      </w:r>
      <w:r w:rsidR="000639F3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another 20 smaller</w:t>
      </w:r>
      <w:r w:rsidR="00CC5B2E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municipalities</w:t>
      </w:r>
      <w:r w:rsidR="00296CB9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.</w:t>
      </w:r>
    </w:p>
    <w:p w14:paraId="2D2A5A54" w14:textId="77777777" w:rsidR="00C960A2" w:rsidRDefault="00C960A2" w:rsidP="00EA10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</w:pPr>
    </w:p>
    <w:p w14:paraId="083824C4" w14:textId="57C2E742" w:rsidR="002E7E34" w:rsidRPr="002E7E34" w:rsidRDefault="002E7E34" w:rsidP="002E7E34">
      <w:pPr>
        <w:pStyle w:val="Caption"/>
        <w:rPr>
          <w:rFonts w:ascii="Times New Roman" w:eastAsia="Times New Roman" w:hAnsi="Times New Roman" w:cs="Times New Roman"/>
          <w:color w:val="000000" w:themeColor="text1"/>
          <w:lang w:val="en-US" w:eastAsia="pt-BR"/>
        </w:rPr>
      </w:pPr>
      <w:proofErr w:type="gramStart"/>
      <w:r w:rsidRPr="002E7E34">
        <w:rPr>
          <w:sz w:val="20"/>
          <w:szCs w:val="20"/>
          <w:lang w:val="en-US"/>
        </w:rPr>
        <w:lastRenderedPageBreak/>
        <w:t xml:space="preserve">Figure </w:t>
      </w:r>
      <w:r w:rsidRPr="002E7E34">
        <w:rPr>
          <w:sz w:val="20"/>
          <w:szCs w:val="20"/>
        </w:rPr>
        <w:fldChar w:fldCharType="begin"/>
      </w:r>
      <w:r w:rsidRPr="002E7E34">
        <w:rPr>
          <w:sz w:val="20"/>
          <w:szCs w:val="20"/>
          <w:lang w:val="en-US"/>
        </w:rPr>
        <w:instrText xml:space="preserve"> SEQ Figure \* ARABIC </w:instrText>
      </w:r>
      <w:r w:rsidRPr="002E7E34">
        <w:rPr>
          <w:sz w:val="20"/>
          <w:szCs w:val="20"/>
        </w:rPr>
        <w:fldChar w:fldCharType="separate"/>
      </w:r>
      <w:r w:rsidRPr="002E7E34">
        <w:rPr>
          <w:noProof/>
          <w:sz w:val="20"/>
          <w:szCs w:val="20"/>
          <w:lang w:val="en-US"/>
        </w:rPr>
        <w:t>1</w:t>
      </w:r>
      <w:r w:rsidRPr="002E7E34">
        <w:rPr>
          <w:sz w:val="20"/>
          <w:szCs w:val="20"/>
        </w:rPr>
        <w:fldChar w:fldCharType="end"/>
      </w:r>
      <w:r w:rsidRPr="002E7E34">
        <w:rPr>
          <w:lang w:val="en-US"/>
        </w:rPr>
        <w:t xml:space="preserve">- </w:t>
      </w:r>
      <w:r w:rsidRPr="002E7E34">
        <w:rPr>
          <w:sz w:val="20"/>
          <w:szCs w:val="20"/>
          <w:lang w:val="en-US"/>
        </w:rPr>
        <w:t>typology map of new developments</w:t>
      </w:r>
      <w:r>
        <w:rPr>
          <w:rFonts w:ascii="Times New Roman" w:eastAsia="Times New Roman" w:hAnsi="Times New Roman" w:cs="Times New Roman"/>
          <w:noProof/>
          <w:color w:val="000000" w:themeColor="text1"/>
          <w:lang w:eastAsia="pt-BR"/>
        </w:rPr>
        <w:drawing>
          <wp:anchor distT="0" distB="0" distL="114300" distR="114300" simplePos="0" relativeHeight="251658240" behindDoc="0" locked="0" layoutInCell="1" allowOverlap="1" wp14:anchorId="6A1E09AC" wp14:editId="6B7437CB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5400040" cy="381762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sc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7E34">
        <w:rPr>
          <w:rFonts w:ascii="Times New Roman" w:eastAsia="Times New Roman" w:hAnsi="Times New Roman" w:cs="Times New Roman"/>
          <w:noProof/>
          <w:color w:val="000000" w:themeColor="text1"/>
          <w:lang w:val="en-US" w:eastAsia="pt-BR"/>
        </w:rPr>
        <w:t>.</w:t>
      </w:r>
      <w:proofErr w:type="gramEnd"/>
      <w:r w:rsidRPr="002E7E34">
        <w:rPr>
          <w:rFonts w:ascii="Times New Roman" w:eastAsia="Times New Roman" w:hAnsi="Times New Roman" w:cs="Times New Roman"/>
          <w:noProof/>
          <w:color w:val="000000" w:themeColor="text1"/>
          <w:lang w:val="en-US" w:eastAsia="pt-BR"/>
        </w:rPr>
        <w:t xml:space="preserve"> </w:t>
      </w:r>
      <w:r w:rsidRPr="002E7E34"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  <w:lang w:val="en-US" w:eastAsia="pt-BR"/>
        </w:rPr>
        <w:t>Source:</w:t>
      </w:r>
      <w:r w:rsidRPr="002E7E34">
        <w:t xml:space="preserve"> </w:t>
      </w:r>
      <w:r w:rsidRPr="002E7E34"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  <w:lang w:val="en-US" w:eastAsia="pt-BR"/>
        </w:rPr>
        <w:t>Own Elaboration</w:t>
      </w:r>
      <w:r>
        <w:rPr>
          <w:rFonts w:ascii="Times New Roman" w:eastAsia="Times New Roman" w:hAnsi="Times New Roman" w:cs="Times New Roman"/>
          <w:noProof/>
          <w:color w:val="000000" w:themeColor="text1"/>
          <w:lang w:val="en-US" w:eastAsia="pt-BR"/>
        </w:rPr>
        <w:t xml:space="preserve"> </w:t>
      </w:r>
    </w:p>
    <w:p w14:paraId="648D5530" w14:textId="77777777" w:rsidR="002E7E34" w:rsidRDefault="002E7E34" w:rsidP="00EA10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</w:pPr>
    </w:p>
    <w:p w14:paraId="4CD80EA6" w14:textId="365B4B71" w:rsidR="002C5DE7" w:rsidRDefault="00CC5B2E" w:rsidP="00EA10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</w:pPr>
      <w:r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To implement this study,</w:t>
      </w:r>
      <w:r w:rsidR="0031145D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an</w:t>
      </w:r>
      <w:r w:rsidR="000B05B9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</w:t>
      </w:r>
      <w:r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all-encompassing body of </w:t>
      </w:r>
      <w:r w:rsidR="000B05B9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fieldwork</w:t>
      </w:r>
      <w:r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was used,</w:t>
      </w:r>
      <w:r w:rsidR="0031145D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</w:t>
      </w:r>
      <w:r w:rsidR="00CB380F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facilitated</w:t>
      </w:r>
      <w:r w:rsidR="0031145D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b</w:t>
      </w:r>
      <w:r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y Google Earth, by </w:t>
      </w:r>
      <w:r w:rsidR="0031145D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ArcGIS</w:t>
      </w:r>
      <w:r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software, and by the data</w:t>
      </w:r>
      <w:r w:rsidR="0031145D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base</w:t>
      </w:r>
      <w:r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made</w:t>
      </w:r>
      <w:r w:rsidR="0031145D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available </w:t>
      </w:r>
      <w:r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by the GIS Laboratory of the </w:t>
      </w:r>
      <w:r w:rsidR="0031145D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Department of Urban Planning at the School of Architecture of the Federal University of Minas </w:t>
      </w:r>
      <w:proofErr w:type="spellStart"/>
      <w:r w:rsidR="0031145D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Gerais</w:t>
      </w:r>
      <w:proofErr w:type="spellEnd"/>
      <w:r w:rsidR="0031145D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.</w:t>
      </w:r>
    </w:p>
    <w:p w14:paraId="6B2EB4F4" w14:textId="77777777" w:rsidR="002E7E34" w:rsidRPr="00E12DE1" w:rsidRDefault="002E7E34" w:rsidP="00EA10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</w:pPr>
    </w:p>
    <w:p w14:paraId="62D79A0C" w14:textId="66775BBF" w:rsidR="00CC5B2E" w:rsidRPr="00E12DE1" w:rsidRDefault="00257355" w:rsidP="00EA10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</w:pPr>
      <w:r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This space</w:t>
      </w:r>
      <w:r w:rsidR="00CC5B2E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that was studied</w:t>
      </w:r>
      <w:r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</w:t>
      </w:r>
      <w:r w:rsidR="00CC5B2E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is of</w:t>
      </w:r>
      <w:r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hu</w:t>
      </w:r>
      <w:r w:rsidR="00CB380F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ge importance because it represents the urban </w:t>
      </w:r>
      <w:r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growth area</w:t>
      </w:r>
      <w:r w:rsidR="00CF5FC7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of</w:t>
      </w:r>
      <w:r w:rsidR="00CB380F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the cities of</w:t>
      </w:r>
      <w:r w:rsidR="00CF5FC7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</w:t>
      </w:r>
      <w:proofErr w:type="spellStart"/>
      <w:r w:rsidR="00CF5FC7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Ouro</w:t>
      </w:r>
      <w:proofErr w:type="spellEnd"/>
      <w:r w:rsidR="00CF5FC7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</w:t>
      </w:r>
      <w:proofErr w:type="spellStart"/>
      <w:r w:rsidR="00CF5FC7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Preto</w:t>
      </w:r>
      <w:proofErr w:type="spellEnd"/>
      <w:r w:rsidR="00CF5FC7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and </w:t>
      </w:r>
      <w:proofErr w:type="spellStart"/>
      <w:r w:rsidR="00CF5FC7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Itabirito</w:t>
      </w:r>
      <w:proofErr w:type="spellEnd"/>
      <w:r w:rsidR="00CF5FC7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. </w:t>
      </w:r>
      <w:r w:rsidR="00CC5B2E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Due to certain p</w:t>
      </w:r>
      <w:r w:rsidR="00452A24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hysical and geographical </w:t>
      </w:r>
      <w:r w:rsidR="00C123F0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conditions </w:t>
      </w:r>
      <w:r w:rsidR="00CC5B2E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present in</w:t>
      </w:r>
      <w:r w:rsidR="00C123F0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</w:t>
      </w:r>
      <w:proofErr w:type="spellStart"/>
      <w:r w:rsidR="00CF5FC7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Ouro</w:t>
      </w:r>
      <w:proofErr w:type="spellEnd"/>
      <w:r w:rsidR="00CF5FC7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</w:t>
      </w:r>
      <w:proofErr w:type="spellStart"/>
      <w:r w:rsidR="00CF5FC7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Preto</w:t>
      </w:r>
      <w:proofErr w:type="spellEnd"/>
      <w:r w:rsidR="00CB380F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that are difficult to overcome</w:t>
      </w:r>
      <w:r w:rsidR="00420BA4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,</w:t>
      </w:r>
      <w:r w:rsidR="00CC5B2E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the expansion of its urban area is restricted, and </w:t>
      </w:r>
      <w:r w:rsidR="00C123F0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the</w:t>
      </w:r>
      <w:r w:rsidR="00CB380F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surrounding settlements covered in this</w:t>
      </w:r>
      <w:r w:rsidR="00C123F0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case study </w:t>
      </w:r>
      <w:r w:rsidR="00CE21FA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meet the needs</w:t>
      </w:r>
      <w:r w:rsidR="00CB380F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</w:t>
      </w:r>
      <w:r w:rsidR="00CC5B2E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o</w:t>
      </w:r>
      <w:r w:rsidR="00CB380F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f</w:t>
      </w:r>
      <w:r w:rsidR="00B34A58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the</w:t>
      </w:r>
      <w:r w:rsidR="00CE21FA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city’s</w:t>
      </w:r>
      <w:r w:rsidR="00B34A58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po</w:t>
      </w:r>
      <w:r w:rsidR="00CE21FA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pulation demands</w:t>
      </w:r>
      <w:r w:rsidR="00CC5B2E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. </w:t>
      </w:r>
      <w:proofErr w:type="spellStart"/>
      <w:r w:rsidR="00CC5B2E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Itabirito</w:t>
      </w:r>
      <w:proofErr w:type="spellEnd"/>
      <w:r w:rsidR="00CC5B2E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, for instance, </w:t>
      </w:r>
      <w:r w:rsidR="00CE21FA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has opened itself up to the population segment looking for weekend country houses.</w:t>
      </w:r>
    </w:p>
    <w:p w14:paraId="043DB5F3" w14:textId="77777777" w:rsidR="00CC5B2E" w:rsidRPr="00E12DE1" w:rsidRDefault="00CC5B2E" w:rsidP="00EA10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</w:pPr>
    </w:p>
    <w:p w14:paraId="4E79DADB" w14:textId="5F0239B6" w:rsidR="00CE21FA" w:rsidRPr="00E12DE1" w:rsidRDefault="00CB380F" w:rsidP="00EA10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</w:pPr>
      <w:r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The settlements that have</w:t>
      </w:r>
      <w:r w:rsidR="00CE21FA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stood out as the settlements with the best</w:t>
      </w:r>
      <w:r w:rsidR="0006568C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urban conditions</w:t>
      </w:r>
      <w:r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are the districts</w:t>
      </w:r>
      <w:r w:rsidR="0006568C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, </w:t>
      </w:r>
      <w:r w:rsidR="00CE21FA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having grown faster and become attractive spaces for emerging real estate ventures led by inhabitants with medium to upper class socioeconomic status. </w:t>
      </w:r>
    </w:p>
    <w:p w14:paraId="33CDEA83" w14:textId="77777777" w:rsidR="00CE21FA" w:rsidRPr="00E12DE1" w:rsidRDefault="00CE21FA" w:rsidP="00EA10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</w:pPr>
    </w:p>
    <w:p w14:paraId="7DAA6D17" w14:textId="6CB67B2A" w:rsidR="00CE21FA" w:rsidRPr="00E12DE1" w:rsidRDefault="00ED53A3" w:rsidP="00EA10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</w:pPr>
      <w:r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Amo</w:t>
      </w:r>
      <w:r w:rsidR="00CE21FA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ng the most significant urbanizations,</w:t>
      </w:r>
      <w:r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</w:t>
      </w:r>
      <w:proofErr w:type="spellStart"/>
      <w:r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Cachoe</w:t>
      </w:r>
      <w:r w:rsidR="004128AB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ira</w:t>
      </w:r>
      <w:proofErr w:type="spellEnd"/>
      <w:r w:rsidR="004128AB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do Campo and </w:t>
      </w:r>
      <w:proofErr w:type="spellStart"/>
      <w:r w:rsidR="004128AB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Amarantina</w:t>
      </w:r>
      <w:proofErr w:type="spellEnd"/>
      <w:r w:rsidR="00CE21FA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play</w:t>
      </w:r>
      <w:r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the important role of multifunctiona</w:t>
      </w:r>
      <w:r w:rsidR="00CE21FA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l </w:t>
      </w:r>
      <w:r w:rsidR="00E3542A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centralities</w:t>
      </w:r>
      <w:r w:rsidR="00CE21FA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, polarizing </w:t>
      </w:r>
      <w:r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close urbanizations</w:t>
      </w:r>
      <w:r w:rsidR="005D1A95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such as Santo </w:t>
      </w:r>
      <w:proofErr w:type="spellStart"/>
      <w:r w:rsidR="005D1A95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Antônio</w:t>
      </w:r>
      <w:proofErr w:type="spellEnd"/>
      <w:r w:rsidR="005D1A95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do </w:t>
      </w:r>
      <w:proofErr w:type="spellStart"/>
      <w:r w:rsidR="005D1A95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Leite</w:t>
      </w:r>
      <w:proofErr w:type="spellEnd"/>
      <w:r w:rsidR="005D1A95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and </w:t>
      </w:r>
      <w:proofErr w:type="spellStart"/>
      <w:r w:rsidR="005D1A95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Glaura</w:t>
      </w:r>
      <w:proofErr w:type="spellEnd"/>
      <w:r w:rsidR="00296CB9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,</w:t>
      </w:r>
      <w:r w:rsidR="00CB380F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which are</w:t>
      </w:r>
      <w:r w:rsidR="005D1A95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</w:t>
      </w:r>
      <w:r w:rsidR="00CE21FA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both</w:t>
      </w:r>
      <w:r w:rsidR="005D1A95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</w:t>
      </w:r>
      <w:r w:rsidR="00CB380F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classified as </w:t>
      </w:r>
      <w:r w:rsidR="005D1A95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residential </w:t>
      </w:r>
      <w:r w:rsidR="00CE21FA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hubs</w:t>
      </w:r>
      <w:r w:rsidR="005D1A95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. </w:t>
      </w:r>
    </w:p>
    <w:p w14:paraId="0E2812D4" w14:textId="77777777" w:rsidR="00CE21FA" w:rsidRPr="00E12DE1" w:rsidRDefault="00CE21FA" w:rsidP="00EA10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</w:pPr>
    </w:p>
    <w:p w14:paraId="32671214" w14:textId="77777777" w:rsidR="003605C9" w:rsidRPr="00E12DE1" w:rsidRDefault="00E3542A" w:rsidP="00EA10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</w:pPr>
      <w:proofErr w:type="spellStart"/>
      <w:r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Cachoeira</w:t>
      </w:r>
      <w:proofErr w:type="spellEnd"/>
      <w:r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do Campo and </w:t>
      </w:r>
      <w:proofErr w:type="spellStart"/>
      <w:r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Amarantina</w:t>
      </w:r>
      <w:proofErr w:type="spellEnd"/>
      <w:r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together, due to their </w:t>
      </w:r>
      <w:r w:rsidR="00CE21FA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central and accessible location</w:t>
      </w:r>
      <w:r w:rsidR="005D1A95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, </w:t>
      </w:r>
      <w:r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as well as favorable physical and geographic conditions, garner</w:t>
      </w:r>
      <w:r w:rsidR="007B34B1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higher degree</w:t>
      </w:r>
      <w:r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s of growth compared to other urban centers</w:t>
      </w:r>
      <w:r w:rsidR="007B34B1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in the cluster.</w:t>
      </w:r>
    </w:p>
    <w:p w14:paraId="372D528C" w14:textId="65AE768D" w:rsidR="00587F32" w:rsidRPr="00E12DE1" w:rsidRDefault="00E3542A" w:rsidP="00EA10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</w:pPr>
      <w:r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lastRenderedPageBreak/>
        <w:t xml:space="preserve">Further away from the aforementioned </w:t>
      </w:r>
      <w:r w:rsidR="00587F32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urban centers</w:t>
      </w:r>
      <w:r w:rsidR="0099383F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, due to the relevance of certain</w:t>
      </w:r>
      <w:r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qualities of their landscape</w:t>
      </w:r>
      <w:r w:rsidR="00A95569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, </w:t>
      </w:r>
      <w:proofErr w:type="spellStart"/>
      <w:r w:rsidR="00587F32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Acuruí</w:t>
      </w:r>
      <w:proofErr w:type="spellEnd"/>
      <w:r w:rsidR="00587F32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and São </w:t>
      </w:r>
      <w:proofErr w:type="spellStart"/>
      <w:r w:rsidR="00587F32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Gonçalo</w:t>
      </w:r>
      <w:proofErr w:type="spellEnd"/>
      <w:r w:rsidR="00587F32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do </w:t>
      </w:r>
      <w:proofErr w:type="spellStart"/>
      <w:r w:rsidR="00587F32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Bação</w:t>
      </w:r>
      <w:proofErr w:type="spellEnd"/>
      <w:r w:rsidR="00587F32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stand out for their land subdivision and blending ventures, forming residential centralities. </w:t>
      </w:r>
    </w:p>
    <w:p w14:paraId="60C4910F" w14:textId="77777777" w:rsidR="00587F32" w:rsidRPr="00E12DE1" w:rsidRDefault="00587F32" w:rsidP="00EA10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</w:pPr>
    </w:p>
    <w:p w14:paraId="6FFDE23C" w14:textId="7C387B59" w:rsidR="00587F32" w:rsidRPr="00E12DE1" w:rsidRDefault="00F53B58" w:rsidP="00EA10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</w:pPr>
      <w:r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Analyz</w:t>
      </w:r>
      <w:r w:rsidR="00587F32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ing the planning instruments adopted by the </w:t>
      </w:r>
      <w:r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cities of </w:t>
      </w:r>
      <w:proofErr w:type="spellStart"/>
      <w:r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Ouro</w:t>
      </w:r>
      <w:proofErr w:type="spellEnd"/>
      <w:r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</w:t>
      </w:r>
      <w:proofErr w:type="spellStart"/>
      <w:r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Preto</w:t>
      </w:r>
      <w:proofErr w:type="spellEnd"/>
      <w:r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and </w:t>
      </w:r>
      <w:proofErr w:type="spellStart"/>
      <w:r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Itabir</w:t>
      </w:r>
      <w:r w:rsidR="00587F32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ito</w:t>
      </w:r>
      <w:proofErr w:type="spellEnd"/>
      <w:r w:rsidR="00587F32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, it is clear to see how </w:t>
      </w:r>
      <w:r w:rsidR="00887895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advantageous it</w:t>
      </w:r>
      <w:r w:rsidR="00587F32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would be</w:t>
      </w:r>
      <w:r w:rsidR="00887895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</w:t>
      </w:r>
      <w:r w:rsidR="00587F32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to adopt a zoning policy that would incorporate these </w:t>
      </w:r>
      <w:r w:rsidR="00887895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new urban centers</w:t>
      </w:r>
      <w:r w:rsidR="0046778B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, which currently do not possess</w:t>
      </w:r>
      <w:r w:rsidR="00887895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a general vision of the entire region together</w:t>
      </w:r>
      <w:r w:rsidR="0099383F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. This significantly</w:t>
      </w:r>
      <w:r w:rsidR="0046778B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limits</w:t>
      </w:r>
      <w:r w:rsidR="00887895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the control and efficacy of these instruments. </w:t>
      </w:r>
    </w:p>
    <w:p w14:paraId="79DD0650" w14:textId="77777777" w:rsidR="00E3542A" w:rsidRPr="00E12DE1" w:rsidRDefault="00E3542A" w:rsidP="00EA10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</w:pPr>
    </w:p>
    <w:p w14:paraId="2F482845" w14:textId="48DCBE86" w:rsidR="00F53B58" w:rsidRPr="00E12DE1" w:rsidRDefault="00540277" w:rsidP="00EA10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</w:pPr>
      <w:r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This growth process </w:t>
      </w:r>
      <w:r w:rsidR="00887895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has been gathering both popular and economic support</w:t>
      </w:r>
      <w:r w:rsidR="0099383F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alongside </w:t>
      </w:r>
      <w:r w:rsidR="00887895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services and urban infrastructure, altogether</w:t>
      </w:r>
      <w:r w:rsidR="00A32748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improving</w:t>
      </w:r>
      <w:r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</w:t>
      </w:r>
      <w:r w:rsidR="00A32748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the accessibil</w:t>
      </w:r>
      <w:r w:rsidR="0099383F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ity of the geographical space and</w:t>
      </w:r>
      <w:r w:rsidR="00887895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reinforcing its importance to this urban cluster. </w:t>
      </w:r>
    </w:p>
    <w:p w14:paraId="7E3DA69F" w14:textId="77777777" w:rsidR="00887895" w:rsidRPr="00E12DE1" w:rsidRDefault="00887895" w:rsidP="00EA10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</w:pPr>
    </w:p>
    <w:p w14:paraId="1E2E0D83" w14:textId="062D5772" w:rsidR="00540277" w:rsidRPr="00E12DE1" w:rsidRDefault="00887895" w:rsidP="00EA10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</w:pPr>
      <w:r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T</w:t>
      </w:r>
      <w:r w:rsidR="00023194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hese </w:t>
      </w:r>
      <w:r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spaces, however, are not </w:t>
      </w:r>
      <w:r w:rsidR="0099383F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complete and </w:t>
      </w:r>
      <w:r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autonomous, as they still depend on services such as education, health care, recreation, as well as sources of employment  offered by</w:t>
      </w:r>
      <w:r w:rsidR="00023194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medium-sized cities</w:t>
      </w:r>
      <w:r w:rsidR="00CE14CC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</w:t>
      </w:r>
      <w:r w:rsidR="00296CB9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in</w:t>
      </w:r>
      <w:r w:rsidR="0099383F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the cluster, generating waste</w:t>
      </w:r>
      <w:r w:rsidR="00CE14CC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that should be mini</w:t>
      </w:r>
      <w:r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mized with </w:t>
      </w:r>
      <w:r w:rsidR="0099383F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the establishment of</w:t>
      </w:r>
      <w:r w:rsidR="00FD25FC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, firstly, communal </w:t>
      </w:r>
      <w:r w:rsidR="0099383F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areas, which will</w:t>
      </w:r>
      <w:r w:rsidR="00CE14CC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strengthen the</w:t>
      </w:r>
      <w:r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se new hubs, and then the implementation of </w:t>
      </w:r>
      <w:r w:rsidR="00CE14CC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productive activities.</w:t>
      </w:r>
    </w:p>
    <w:p w14:paraId="67C915DB" w14:textId="77777777" w:rsidR="00887895" w:rsidRPr="00E12DE1" w:rsidRDefault="00887895" w:rsidP="00EA10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</w:pPr>
    </w:p>
    <w:p w14:paraId="28586666" w14:textId="564A5A36" w:rsidR="001E72EC" w:rsidRPr="00E12DE1" w:rsidRDefault="001F1D77" w:rsidP="00EA100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The tendency is a city model that is </w:t>
      </w:r>
      <w:r w:rsidR="001E72EC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even more diffuse and ext</w:t>
      </w:r>
      <w:r w:rsidR="0046778B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ensive. The hypothesis, based on</w:t>
      </w:r>
      <w:r w:rsidR="001E72EC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this study</w:t>
      </w:r>
      <w:r w:rsidR="002456D0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,</w:t>
      </w:r>
      <w:r w:rsidR="001E72EC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is showing </w:t>
      </w:r>
      <w:r w:rsidR="0046778B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itself to </w:t>
      </w:r>
      <w:r w:rsidR="00FD25FC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be </w:t>
      </w:r>
      <w:r w:rsidR="0046778B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more and more true in </w:t>
      </w:r>
      <w:proofErr w:type="spellStart"/>
      <w:r w:rsidR="0046778B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peri</w:t>
      </w:r>
      <w:proofErr w:type="spellEnd"/>
      <w:r w:rsidR="00FD25FC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-</w:t>
      </w:r>
      <w:r w:rsidR="001E72EC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urban areas</w:t>
      </w:r>
      <w:r w:rsidR="00815B42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,</w:t>
      </w:r>
      <w:r w:rsidR="004C58A4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</w:t>
      </w:r>
      <w:r w:rsidR="00815B42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demonstrating that this </w:t>
      </w:r>
      <w:r w:rsidR="004C58A4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should be faced by local management</w:t>
      </w:r>
      <w:r w:rsidR="0046778B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organizations</w:t>
      </w:r>
      <w:r w:rsidR="004C58A4" w:rsidRPr="00E12DE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by regulating influential</w:t>
      </w:r>
      <w:r w:rsidR="0046778B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players</w:t>
      </w:r>
      <w:r w:rsidR="004C58A4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that control this </w:t>
      </w:r>
      <w:r w:rsidR="0046778B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growing space, mainly the real estate market, which </w:t>
      </w:r>
      <w:r w:rsidR="00445254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see these areas as a territory to be </w:t>
      </w:r>
      <w:r w:rsidR="0046778B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conquered or purchased</w:t>
      </w:r>
      <w:r w:rsidR="00445254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, as long as urban f</w:t>
      </w:r>
      <w:r w:rsidR="006A7B31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eatures like shopping centers, i</w:t>
      </w:r>
      <w:r w:rsidR="00445254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nfrastructure</w:t>
      </w:r>
      <w:r w:rsidR="006A7B31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,</w:t>
      </w:r>
      <w:r w:rsidR="00445254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and access roads</w:t>
      </w:r>
      <w:r w:rsidR="006A7B31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,</w:t>
      </w:r>
      <w:r w:rsidR="00445254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continue to be areas of expansion</w:t>
      </w:r>
      <w:r w:rsidR="00AE198A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</w:t>
      </w:r>
      <w:r w:rsidR="002466B8" w:rsidRPr="00E12D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(</w:t>
      </w:r>
      <w:r w:rsidR="002466B8" w:rsidRPr="00E12DE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CICCOLELLA</w:t>
      </w:r>
      <w:r w:rsidR="00AE198A" w:rsidRPr="00E12DE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 2012).</w:t>
      </w:r>
    </w:p>
    <w:p w14:paraId="07986E49" w14:textId="77777777" w:rsidR="001F1D77" w:rsidRPr="00E12DE1" w:rsidRDefault="001F1D77" w:rsidP="00EA100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625D29D9" w14:textId="1605F405" w:rsidR="00023194" w:rsidRPr="00E12DE1" w:rsidRDefault="00FF1044" w:rsidP="00EA100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E12DE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There is</w:t>
      </w:r>
      <w:r w:rsidR="00815B42" w:rsidRPr="00E12DE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</w:t>
      </w:r>
      <w:r w:rsidRPr="00E12DE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therefore</w:t>
      </w:r>
      <w:r w:rsidR="00815B42" w:rsidRPr="00E12DE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</w:t>
      </w:r>
      <w:r w:rsidRPr="00E12DE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</w:t>
      </w:r>
      <w:r w:rsidR="006A7B31" w:rsidRPr="00E12DE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 urgent</w:t>
      </w:r>
      <w:r w:rsidRPr="00E12DE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need</w:t>
      </w:r>
      <w:r w:rsidR="006A7B31" w:rsidRPr="00E12DE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for the creation of</w:t>
      </w:r>
      <w:r w:rsidRPr="00E12DE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urban </w:t>
      </w:r>
      <w:r w:rsidR="006A7B31" w:rsidRPr="00E12DE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planning instruments on a</w:t>
      </w:r>
      <w:r w:rsidRPr="00E12DE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r</w:t>
      </w:r>
      <w:r w:rsidR="001F1D77" w:rsidRPr="00E12DE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egional scale </w:t>
      </w:r>
      <w:r w:rsidR="006A7B31" w:rsidRPr="00E12DE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which </w:t>
      </w:r>
      <w:r w:rsidR="001F1D77" w:rsidRPr="00E12DE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can </w:t>
      </w:r>
      <w:r w:rsidR="006A7B31" w:rsidRPr="00E12DE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incorporate</w:t>
      </w:r>
      <w:r w:rsidRPr="00E12DE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E12DE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peri</w:t>
      </w:r>
      <w:proofErr w:type="spellEnd"/>
      <w:r w:rsidRPr="00E12DE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-urban spaces </w:t>
      </w:r>
      <w:r w:rsidR="006A7B31" w:rsidRPr="00E12DE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</w:t>
      </w:r>
      <w:r w:rsidR="001F1D77" w:rsidRPr="00E12DE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nto territorial policies, otherwise they will very likely</w:t>
      </w:r>
      <w:r w:rsidR="006A7B31" w:rsidRPr="00E12DE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turned into merely </w:t>
      </w:r>
      <w:r w:rsidR="0029264B" w:rsidRPr="00E12DE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strategic </w:t>
      </w:r>
      <w:r w:rsidR="006A7B31" w:rsidRPr="00E12DE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spaces for </w:t>
      </w:r>
      <w:r w:rsidR="0029264B" w:rsidRPr="00E12DE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market appropriation. </w:t>
      </w:r>
      <w:r w:rsidRPr="00E12DE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</w:p>
    <w:p w14:paraId="2B1B5F05" w14:textId="77777777" w:rsidR="00FF1044" w:rsidRPr="00E12DE1" w:rsidRDefault="00FF1044" w:rsidP="00EA10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pt-BR"/>
        </w:rPr>
      </w:pPr>
    </w:p>
    <w:p w14:paraId="3F965B3F" w14:textId="77777777" w:rsidR="00E767AB" w:rsidRDefault="00E767AB" w:rsidP="00EA10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</w:p>
    <w:p w14:paraId="62EBA503" w14:textId="1D2B7C1D" w:rsidR="00CC1C9E" w:rsidRPr="00E12DE1" w:rsidRDefault="005454E6" w:rsidP="00EA100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0" w:name="_GoBack"/>
      <w:bookmarkEnd w:id="0"/>
      <w:r w:rsidRPr="00E12DE1">
        <w:rPr>
          <w:rFonts w:ascii="Times New Roman" w:hAnsi="Times New Roman" w:cs="Times New Roman"/>
          <w:color w:val="000000" w:themeColor="text1"/>
          <w:sz w:val="24"/>
          <w:szCs w:val="24"/>
        </w:rPr>
        <w:t>BIBLIOGRA</w:t>
      </w:r>
      <w:r w:rsidR="002466B8" w:rsidRPr="00E12DE1">
        <w:rPr>
          <w:rFonts w:ascii="Times New Roman" w:hAnsi="Times New Roman" w:cs="Times New Roman"/>
          <w:color w:val="000000" w:themeColor="text1"/>
          <w:sz w:val="24"/>
          <w:szCs w:val="24"/>
        </w:rPr>
        <w:t>PHY</w:t>
      </w:r>
    </w:p>
    <w:p w14:paraId="482891E7" w14:textId="77777777" w:rsidR="002466B8" w:rsidRPr="00E12DE1" w:rsidRDefault="002466B8" w:rsidP="00EA100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8FC11F6" w14:textId="77777777" w:rsidR="002466B8" w:rsidRPr="00E12DE1" w:rsidRDefault="002466B8" w:rsidP="00EA100F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AR"/>
        </w:rPr>
      </w:pPr>
      <w:r w:rsidRPr="00E12D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AMORIM FILHO, O. B.; SENA FILHO, N. A morfologia das Cidades Médias. </w:t>
      </w:r>
      <w:r w:rsidRPr="00E12DE1">
        <w:rPr>
          <w:rFonts w:ascii="Times New Roman" w:hAnsi="Times New Roman" w:cs="Times New Roman"/>
          <w:color w:val="000000" w:themeColor="text1"/>
          <w:sz w:val="24"/>
          <w:szCs w:val="24"/>
          <w:lang w:val="es-AR"/>
        </w:rPr>
        <w:t xml:space="preserve">Goiânia: Editora Vieira, 2005. </w:t>
      </w:r>
    </w:p>
    <w:p w14:paraId="0E793E37" w14:textId="77777777" w:rsidR="002466B8" w:rsidRPr="00E12DE1" w:rsidRDefault="002466B8" w:rsidP="00EA100F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AR"/>
        </w:rPr>
      </w:pPr>
    </w:p>
    <w:p w14:paraId="2C916C97" w14:textId="0D0CC487" w:rsidR="004128AB" w:rsidRPr="00E12DE1" w:rsidRDefault="004128AB" w:rsidP="00EA100F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AR"/>
        </w:rPr>
      </w:pPr>
      <w:r w:rsidRPr="00E12DE1">
        <w:rPr>
          <w:rFonts w:ascii="Times New Roman" w:hAnsi="Times New Roman" w:cs="Times New Roman"/>
          <w:color w:val="000000" w:themeColor="text1"/>
          <w:sz w:val="24"/>
          <w:szCs w:val="24"/>
          <w:lang w:val="es-AR"/>
        </w:rPr>
        <w:t>AMORIM FILHO, O. B.; CAMPOS, J.; RIGOTTI, J. I. R</w:t>
      </w:r>
      <w:proofErr w:type="gramStart"/>
      <w:r w:rsidRPr="00E12DE1">
        <w:rPr>
          <w:rFonts w:ascii="Times New Roman" w:hAnsi="Times New Roman" w:cs="Times New Roman"/>
          <w:color w:val="000000" w:themeColor="text1"/>
          <w:sz w:val="24"/>
          <w:szCs w:val="24"/>
          <w:lang w:val="es-AR"/>
        </w:rPr>
        <w:t>..</w:t>
      </w:r>
      <w:proofErr w:type="gramEnd"/>
      <w:r w:rsidRPr="00E12DE1">
        <w:rPr>
          <w:rFonts w:ascii="Times New Roman" w:hAnsi="Times New Roman" w:cs="Times New Roman"/>
          <w:color w:val="000000" w:themeColor="text1"/>
          <w:sz w:val="24"/>
          <w:szCs w:val="24"/>
          <w:lang w:val="es-AR"/>
        </w:rPr>
        <w:t xml:space="preserve"> Os </w:t>
      </w:r>
      <w:proofErr w:type="spellStart"/>
      <w:r w:rsidRPr="00E12DE1">
        <w:rPr>
          <w:rFonts w:ascii="Times New Roman" w:hAnsi="Times New Roman" w:cs="Times New Roman"/>
          <w:color w:val="000000" w:themeColor="text1"/>
          <w:sz w:val="24"/>
          <w:szCs w:val="24"/>
          <w:lang w:val="es-AR"/>
        </w:rPr>
        <w:t>níveis</w:t>
      </w:r>
      <w:proofErr w:type="spellEnd"/>
      <w:r w:rsidRPr="00E12DE1">
        <w:rPr>
          <w:rFonts w:ascii="Times New Roman" w:hAnsi="Times New Roman" w:cs="Times New Roman"/>
          <w:color w:val="000000" w:themeColor="text1"/>
          <w:sz w:val="24"/>
          <w:szCs w:val="24"/>
          <w:lang w:val="es-AR"/>
        </w:rPr>
        <w:t xml:space="preserve"> </w:t>
      </w:r>
      <w:proofErr w:type="spellStart"/>
      <w:r w:rsidRPr="00E12DE1">
        <w:rPr>
          <w:rFonts w:ascii="Times New Roman" w:hAnsi="Times New Roman" w:cs="Times New Roman"/>
          <w:color w:val="000000" w:themeColor="text1"/>
          <w:sz w:val="24"/>
          <w:szCs w:val="24"/>
          <w:lang w:val="es-AR"/>
        </w:rPr>
        <w:t>hierárquicos</w:t>
      </w:r>
      <w:proofErr w:type="spellEnd"/>
      <w:r w:rsidRPr="00E12DE1">
        <w:rPr>
          <w:rFonts w:ascii="Times New Roman" w:hAnsi="Times New Roman" w:cs="Times New Roman"/>
          <w:color w:val="000000" w:themeColor="text1"/>
          <w:sz w:val="24"/>
          <w:szCs w:val="24"/>
          <w:lang w:val="es-AR"/>
        </w:rPr>
        <w:t xml:space="preserve"> das </w:t>
      </w:r>
      <w:proofErr w:type="spellStart"/>
      <w:r w:rsidRPr="00E12DE1">
        <w:rPr>
          <w:rFonts w:ascii="Times New Roman" w:hAnsi="Times New Roman" w:cs="Times New Roman"/>
          <w:color w:val="000000" w:themeColor="text1"/>
          <w:sz w:val="24"/>
          <w:szCs w:val="24"/>
          <w:lang w:val="es-AR"/>
        </w:rPr>
        <w:t>cidades</w:t>
      </w:r>
      <w:proofErr w:type="spellEnd"/>
      <w:r w:rsidRPr="00E12DE1">
        <w:rPr>
          <w:rFonts w:ascii="Times New Roman" w:hAnsi="Times New Roman" w:cs="Times New Roman"/>
          <w:color w:val="000000" w:themeColor="text1"/>
          <w:sz w:val="24"/>
          <w:szCs w:val="24"/>
          <w:lang w:val="es-AR"/>
        </w:rPr>
        <w:t xml:space="preserve"> </w:t>
      </w:r>
      <w:proofErr w:type="spellStart"/>
      <w:r w:rsidRPr="00E12DE1">
        <w:rPr>
          <w:rFonts w:ascii="Times New Roman" w:hAnsi="Times New Roman" w:cs="Times New Roman"/>
          <w:color w:val="000000" w:themeColor="text1"/>
          <w:sz w:val="24"/>
          <w:szCs w:val="24"/>
          <w:lang w:val="es-AR"/>
        </w:rPr>
        <w:t>médias</w:t>
      </w:r>
      <w:proofErr w:type="spellEnd"/>
      <w:r w:rsidRPr="00E12DE1">
        <w:rPr>
          <w:rFonts w:ascii="Times New Roman" w:hAnsi="Times New Roman" w:cs="Times New Roman"/>
          <w:color w:val="000000" w:themeColor="text1"/>
          <w:sz w:val="24"/>
          <w:szCs w:val="24"/>
          <w:lang w:val="es-AR"/>
        </w:rPr>
        <w:t xml:space="preserve"> de Minas Gerais. Revista RA ‘E A. Curitiba: Editora UFPR, 2007.</w:t>
      </w:r>
    </w:p>
    <w:p w14:paraId="3DDC2C7C" w14:textId="77777777" w:rsidR="004128AB" w:rsidRPr="00E12DE1" w:rsidRDefault="004128AB" w:rsidP="00EA100F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AR"/>
        </w:rPr>
      </w:pPr>
    </w:p>
    <w:p w14:paraId="2852C933" w14:textId="77777777" w:rsidR="002466B8" w:rsidRPr="00E12DE1" w:rsidRDefault="002466B8" w:rsidP="00EA100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AR"/>
        </w:rPr>
      </w:pPr>
      <w:r w:rsidRPr="00E12DE1">
        <w:rPr>
          <w:rFonts w:ascii="Times New Roman" w:hAnsi="Times New Roman" w:cs="Times New Roman"/>
          <w:color w:val="000000" w:themeColor="text1"/>
          <w:sz w:val="24"/>
          <w:szCs w:val="24"/>
          <w:lang w:val="es-AR"/>
        </w:rPr>
        <w:t xml:space="preserve">CICCOLELLA, P; VECSLIR, L. (2012) Transformaciones territoriales recientes y reestructuración metropolitana en Buenos Aires. In </w:t>
      </w:r>
      <w:proofErr w:type="spellStart"/>
      <w:r w:rsidRPr="00E12DE1">
        <w:rPr>
          <w:rFonts w:ascii="Times New Roman" w:hAnsi="Times New Roman" w:cs="Times New Roman"/>
          <w:color w:val="000000" w:themeColor="text1"/>
          <w:sz w:val="24"/>
          <w:szCs w:val="24"/>
          <w:lang w:val="es-AR"/>
        </w:rPr>
        <w:t>riURB</w:t>
      </w:r>
      <w:proofErr w:type="spellEnd"/>
      <w:r w:rsidRPr="00E12DE1">
        <w:rPr>
          <w:rFonts w:ascii="Times New Roman" w:hAnsi="Times New Roman" w:cs="Times New Roman"/>
          <w:color w:val="000000" w:themeColor="text1"/>
          <w:sz w:val="24"/>
          <w:szCs w:val="24"/>
          <w:lang w:val="es-AR"/>
        </w:rPr>
        <w:t xml:space="preserve"> - Revista Iberoamericana de Urbanismo nº8.</w:t>
      </w:r>
    </w:p>
    <w:p w14:paraId="5C547CC6" w14:textId="77777777" w:rsidR="002466B8" w:rsidRPr="00E12DE1" w:rsidRDefault="002466B8" w:rsidP="00EA100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AR"/>
        </w:rPr>
      </w:pPr>
    </w:p>
    <w:p w14:paraId="1E71153C" w14:textId="695DCB4D" w:rsidR="002466B8" w:rsidRPr="00E12DE1" w:rsidRDefault="002466B8" w:rsidP="00EA100F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2D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CONTI, A. </w:t>
      </w:r>
      <w:r w:rsidR="003020D0" w:rsidRPr="00E12DE1">
        <w:rPr>
          <w:rFonts w:ascii="Times New Roman" w:hAnsi="Times New Roman" w:cs="Times New Roman"/>
          <w:color w:val="000000" w:themeColor="text1"/>
          <w:sz w:val="24"/>
          <w:szCs w:val="24"/>
        </w:rPr>
        <w:t>(20</w:t>
      </w:r>
      <w:r w:rsidRPr="00E12D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13). A zona perimetropolitana de Belo Horizonte - Uma análise exploratória. Belo Horizonte, São Paulo: Editora Livre Expressão. </w:t>
      </w:r>
    </w:p>
    <w:p w14:paraId="3043ABFF" w14:textId="77777777" w:rsidR="002466B8" w:rsidRPr="00E12DE1" w:rsidRDefault="002466B8" w:rsidP="00EA100F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772347E" w14:textId="4C152945" w:rsidR="002466B8" w:rsidRPr="00E12DE1" w:rsidRDefault="002466B8" w:rsidP="00EA100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AR"/>
        </w:rPr>
      </w:pPr>
      <w:r w:rsidRPr="00E12DE1">
        <w:rPr>
          <w:rFonts w:ascii="Times New Roman" w:hAnsi="Times New Roman" w:cs="Times New Roman"/>
          <w:color w:val="000000" w:themeColor="text1"/>
          <w:sz w:val="24"/>
          <w:szCs w:val="24"/>
          <w:lang w:val="es-AR"/>
        </w:rPr>
        <w:lastRenderedPageBreak/>
        <w:t xml:space="preserve">INDOVINA, F. (1998): </w:t>
      </w:r>
      <w:proofErr w:type="spellStart"/>
      <w:r w:rsidRPr="00E12DE1">
        <w:rPr>
          <w:rFonts w:ascii="Times New Roman" w:hAnsi="Times New Roman" w:cs="Times New Roman"/>
          <w:color w:val="000000" w:themeColor="text1"/>
          <w:sz w:val="24"/>
          <w:szCs w:val="24"/>
          <w:lang w:val="es-AR"/>
        </w:rPr>
        <w:t>Algunes</w:t>
      </w:r>
      <w:proofErr w:type="spellEnd"/>
      <w:r w:rsidRPr="00E12DE1">
        <w:rPr>
          <w:rFonts w:ascii="Times New Roman" w:hAnsi="Times New Roman" w:cs="Times New Roman"/>
          <w:color w:val="000000" w:themeColor="text1"/>
          <w:sz w:val="24"/>
          <w:szCs w:val="24"/>
          <w:lang w:val="es-AR"/>
        </w:rPr>
        <w:t xml:space="preserve"> </w:t>
      </w:r>
      <w:proofErr w:type="spellStart"/>
      <w:r w:rsidRPr="00E12DE1">
        <w:rPr>
          <w:rFonts w:ascii="Times New Roman" w:hAnsi="Times New Roman" w:cs="Times New Roman"/>
          <w:color w:val="000000" w:themeColor="text1"/>
          <w:sz w:val="24"/>
          <w:szCs w:val="24"/>
          <w:lang w:val="es-AR"/>
        </w:rPr>
        <w:t>consideracions</w:t>
      </w:r>
      <w:proofErr w:type="spellEnd"/>
      <w:r w:rsidRPr="00E12DE1">
        <w:rPr>
          <w:rFonts w:ascii="Times New Roman" w:hAnsi="Times New Roman" w:cs="Times New Roman"/>
          <w:color w:val="000000" w:themeColor="text1"/>
          <w:sz w:val="24"/>
          <w:szCs w:val="24"/>
          <w:lang w:val="es-AR"/>
        </w:rPr>
        <w:t xml:space="preserve"> sobre la “</w:t>
      </w:r>
      <w:proofErr w:type="spellStart"/>
      <w:r w:rsidRPr="00E12DE1">
        <w:rPr>
          <w:rFonts w:ascii="Times New Roman" w:hAnsi="Times New Roman" w:cs="Times New Roman"/>
          <w:color w:val="000000" w:themeColor="text1"/>
          <w:sz w:val="24"/>
          <w:szCs w:val="24"/>
          <w:lang w:val="es-AR"/>
        </w:rPr>
        <w:t>ciutat</w:t>
      </w:r>
      <w:proofErr w:type="spellEnd"/>
      <w:r w:rsidRPr="00E12DE1">
        <w:rPr>
          <w:rFonts w:ascii="Times New Roman" w:hAnsi="Times New Roman" w:cs="Times New Roman"/>
          <w:color w:val="000000" w:themeColor="text1"/>
          <w:sz w:val="24"/>
          <w:szCs w:val="24"/>
          <w:lang w:val="es-AR"/>
        </w:rPr>
        <w:t xml:space="preserve"> difusa”», </w:t>
      </w:r>
      <w:proofErr w:type="spellStart"/>
      <w:r w:rsidRPr="00E12DE1">
        <w:rPr>
          <w:rFonts w:ascii="Times New Roman" w:hAnsi="Times New Roman" w:cs="Times New Roman"/>
          <w:color w:val="000000" w:themeColor="text1"/>
          <w:sz w:val="24"/>
          <w:szCs w:val="24"/>
          <w:lang w:val="es-AR"/>
        </w:rPr>
        <w:t>Documents</w:t>
      </w:r>
      <w:proofErr w:type="spellEnd"/>
      <w:r w:rsidRPr="00E12DE1">
        <w:rPr>
          <w:rFonts w:ascii="Times New Roman" w:hAnsi="Times New Roman" w:cs="Times New Roman"/>
          <w:color w:val="000000" w:themeColor="text1"/>
          <w:sz w:val="24"/>
          <w:szCs w:val="24"/>
          <w:lang w:val="es-AR"/>
        </w:rPr>
        <w:t xml:space="preserve"> </w:t>
      </w:r>
      <w:proofErr w:type="spellStart"/>
      <w:r w:rsidRPr="00E12DE1">
        <w:rPr>
          <w:rFonts w:ascii="Times New Roman" w:hAnsi="Times New Roman" w:cs="Times New Roman"/>
          <w:color w:val="000000" w:themeColor="text1"/>
          <w:sz w:val="24"/>
          <w:szCs w:val="24"/>
          <w:lang w:val="es-AR"/>
        </w:rPr>
        <w:t>d'Anàlisi</w:t>
      </w:r>
      <w:proofErr w:type="spellEnd"/>
      <w:r w:rsidRPr="00E12DE1">
        <w:rPr>
          <w:rFonts w:ascii="Times New Roman" w:hAnsi="Times New Roman" w:cs="Times New Roman"/>
          <w:color w:val="000000" w:themeColor="text1"/>
          <w:sz w:val="24"/>
          <w:szCs w:val="24"/>
          <w:lang w:val="es-AR"/>
        </w:rPr>
        <w:t xml:space="preserve"> </w:t>
      </w:r>
      <w:proofErr w:type="spellStart"/>
      <w:r w:rsidRPr="00E12DE1">
        <w:rPr>
          <w:rFonts w:ascii="Times New Roman" w:hAnsi="Times New Roman" w:cs="Times New Roman"/>
          <w:color w:val="000000" w:themeColor="text1"/>
          <w:sz w:val="24"/>
          <w:szCs w:val="24"/>
          <w:lang w:val="es-AR"/>
        </w:rPr>
        <w:t>Geogràfica</w:t>
      </w:r>
      <w:proofErr w:type="spellEnd"/>
      <w:r w:rsidRPr="00E12DE1">
        <w:rPr>
          <w:rFonts w:ascii="Times New Roman" w:hAnsi="Times New Roman" w:cs="Times New Roman"/>
          <w:color w:val="000000" w:themeColor="text1"/>
          <w:sz w:val="24"/>
          <w:szCs w:val="24"/>
          <w:lang w:val="es-AR"/>
        </w:rPr>
        <w:t>.</w:t>
      </w:r>
    </w:p>
    <w:p w14:paraId="2F2A16FA" w14:textId="77777777" w:rsidR="002466B8" w:rsidRPr="00E12DE1" w:rsidRDefault="002466B8" w:rsidP="00EA100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AR"/>
        </w:rPr>
      </w:pPr>
    </w:p>
    <w:p w14:paraId="7AEE25C2" w14:textId="77777777" w:rsidR="002466B8" w:rsidRPr="00E12DE1" w:rsidRDefault="002466B8" w:rsidP="00EA100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52647F9" w14:textId="77777777" w:rsidR="00CC1C9E" w:rsidRPr="00E12DE1" w:rsidRDefault="00CC1C9E" w:rsidP="00EA100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0630930" w14:textId="43185E3C" w:rsidR="00CC1C9E" w:rsidRPr="00E12DE1" w:rsidRDefault="00CC1C9E" w:rsidP="00EA100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CC1C9E" w:rsidRPr="00E12DE1">
      <w:pgSz w:w="11906" w:h="16838"/>
      <w:pgMar w:top="1417" w:right="1701" w:bottom="1417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</w:font>
  <w:font w:name="Droid Sans Fallback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C9E"/>
    <w:rsid w:val="00007A68"/>
    <w:rsid w:val="00023194"/>
    <w:rsid w:val="000639F3"/>
    <w:rsid w:val="0006568C"/>
    <w:rsid w:val="000B05B9"/>
    <w:rsid w:val="000C0004"/>
    <w:rsid w:val="00134163"/>
    <w:rsid w:val="001705B5"/>
    <w:rsid w:val="001E72EC"/>
    <w:rsid w:val="001F1D77"/>
    <w:rsid w:val="002456D0"/>
    <w:rsid w:val="002466B8"/>
    <w:rsid w:val="0025598B"/>
    <w:rsid w:val="00257355"/>
    <w:rsid w:val="0029264B"/>
    <w:rsid w:val="00296CB9"/>
    <w:rsid w:val="002C5DE7"/>
    <w:rsid w:val="002E7E34"/>
    <w:rsid w:val="003020D0"/>
    <w:rsid w:val="0031145D"/>
    <w:rsid w:val="003605C9"/>
    <w:rsid w:val="003E6A4A"/>
    <w:rsid w:val="004128AB"/>
    <w:rsid w:val="00420BA4"/>
    <w:rsid w:val="00431EDE"/>
    <w:rsid w:val="00445254"/>
    <w:rsid w:val="00452A24"/>
    <w:rsid w:val="0046778B"/>
    <w:rsid w:val="00471365"/>
    <w:rsid w:val="004C58A4"/>
    <w:rsid w:val="004D6248"/>
    <w:rsid w:val="004E307E"/>
    <w:rsid w:val="00540277"/>
    <w:rsid w:val="005454E6"/>
    <w:rsid w:val="00587F32"/>
    <w:rsid w:val="005B77BD"/>
    <w:rsid w:val="005C2746"/>
    <w:rsid w:val="005D1A95"/>
    <w:rsid w:val="00636ABB"/>
    <w:rsid w:val="006A7B31"/>
    <w:rsid w:val="007071BF"/>
    <w:rsid w:val="00751049"/>
    <w:rsid w:val="007958BA"/>
    <w:rsid w:val="007B34B1"/>
    <w:rsid w:val="008105A3"/>
    <w:rsid w:val="00815B42"/>
    <w:rsid w:val="00862483"/>
    <w:rsid w:val="00887895"/>
    <w:rsid w:val="008D1F0D"/>
    <w:rsid w:val="0091338D"/>
    <w:rsid w:val="00937EEB"/>
    <w:rsid w:val="00961123"/>
    <w:rsid w:val="0099383F"/>
    <w:rsid w:val="009C43C4"/>
    <w:rsid w:val="009E33A9"/>
    <w:rsid w:val="00A2634E"/>
    <w:rsid w:val="00A26B88"/>
    <w:rsid w:val="00A32748"/>
    <w:rsid w:val="00A3794A"/>
    <w:rsid w:val="00A95569"/>
    <w:rsid w:val="00AC458F"/>
    <w:rsid w:val="00AE198A"/>
    <w:rsid w:val="00B34A58"/>
    <w:rsid w:val="00B54F28"/>
    <w:rsid w:val="00B56A26"/>
    <w:rsid w:val="00BA7266"/>
    <w:rsid w:val="00BB22EF"/>
    <w:rsid w:val="00BF3905"/>
    <w:rsid w:val="00C02C83"/>
    <w:rsid w:val="00C123F0"/>
    <w:rsid w:val="00C960A2"/>
    <w:rsid w:val="00CB380F"/>
    <w:rsid w:val="00CC1C9E"/>
    <w:rsid w:val="00CC5B2E"/>
    <w:rsid w:val="00CE14CC"/>
    <w:rsid w:val="00CE21FA"/>
    <w:rsid w:val="00CF5FC7"/>
    <w:rsid w:val="00D577F3"/>
    <w:rsid w:val="00D8736A"/>
    <w:rsid w:val="00DB1A6C"/>
    <w:rsid w:val="00DE3E7A"/>
    <w:rsid w:val="00E12DE1"/>
    <w:rsid w:val="00E3542A"/>
    <w:rsid w:val="00E767AB"/>
    <w:rsid w:val="00E83393"/>
    <w:rsid w:val="00EA100F"/>
    <w:rsid w:val="00ED53A3"/>
    <w:rsid w:val="00F53B58"/>
    <w:rsid w:val="00FB3B3A"/>
    <w:rsid w:val="00FD25FC"/>
    <w:rsid w:val="00FD75DB"/>
    <w:rsid w:val="00FF1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9B6D00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  <w:spacing w:after="200"/>
    </w:pPr>
    <w:rPr>
      <w:color w:val="00000A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B33C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D41C76"/>
    <w:pPr>
      <w:spacing w:beforeAutospacing="1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qFormat/>
    <w:rsid w:val="00D4442C"/>
    <w:rPr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sid w:val="00D4442C"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sid w:val="00D4442C"/>
    <w:rPr>
      <w:b/>
      <w:bCs/>
      <w:sz w:val="20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D4442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qFormat/>
    <w:rsid w:val="00642604"/>
  </w:style>
  <w:style w:type="character" w:styleId="EndnoteReference">
    <w:name w:val="endnote reference"/>
    <w:basedOn w:val="DefaultParagraphFont"/>
    <w:uiPriority w:val="99"/>
    <w:semiHidden/>
    <w:unhideWhenUsed/>
    <w:qFormat/>
    <w:rsid w:val="00642604"/>
  </w:style>
  <w:style w:type="character" w:customStyle="1" w:styleId="spelle">
    <w:name w:val="spelle"/>
    <w:basedOn w:val="DefaultParagraphFont"/>
    <w:qFormat/>
    <w:rsid w:val="00642604"/>
  </w:style>
  <w:style w:type="character" w:customStyle="1" w:styleId="grame">
    <w:name w:val="grame"/>
    <w:basedOn w:val="DefaultParagraphFont"/>
    <w:qFormat/>
    <w:rsid w:val="00642604"/>
  </w:style>
  <w:style w:type="character" w:customStyle="1" w:styleId="Heading2Char">
    <w:name w:val="Heading 2 Char"/>
    <w:basedOn w:val="DefaultParagraphFont"/>
    <w:link w:val="Heading2"/>
    <w:uiPriority w:val="9"/>
    <w:qFormat/>
    <w:rsid w:val="00D41C76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customStyle="1" w:styleId="TextoindependienteCar">
    <w:name w:val="Texto independiente Car"/>
    <w:basedOn w:val="DefaultParagraphFont"/>
    <w:link w:val="TextBody"/>
    <w:uiPriority w:val="99"/>
    <w:semiHidden/>
    <w:qFormat/>
    <w:rsid w:val="00D41C76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qFormat/>
    <w:rsid w:val="00D41C76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tab-span">
    <w:name w:val="apple-tab-span"/>
    <w:basedOn w:val="DefaultParagraphFont"/>
    <w:qFormat/>
    <w:rsid w:val="00D971F5"/>
  </w:style>
  <w:style w:type="character" w:customStyle="1" w:styleId="Heading1Char">
    <w:name w:val="Heading 1 Char"/>
    <w:basedOn w:val="DefaultParagraphFont"/>
    <w:link w:val="Heading1"/>
    <w:uiPriority w:val="9"/>
    <w:qFormat/>
    <w:rsid w:val="00AB33C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ddmd">
    <w:name w:val="addmd"/>
    <w:basedOn w:val="DefaultParagraphFont"/>
    <w:qFormat/>
    <w:rsid w:val="00AB33CC"/>
  </w:style>
  <w:style w:type="character" w:customStyle="1" w:styleId="tituloartigo">
    <w:name w:val="titulo_artigo"/>
    <w:basedOn w:val="DefaultParagraphFont"/>
    <w:qFormat/>
    <w:rsid w:val="00406509"/>
  </w:style>
  <w:style w:type="character" w:customStyle="1" w:styleId="linhafina">
    <w:name w:val="linha_fina"/>
    <w:basedOn w:val="DefaultParagraphFont"/>
    <w:qFormat/>
    <w:rsid w:val="00406509"/>
  </w:style>
  <w:style w:type="character" w:styleId="Emphasis">
    <w:name w:val="Emphasis"/>
    <w:basedOn w:val="DefaultParagraphFont"/>
    <w:uiPriority w:val="20"/>
    <w:qFormat/>
    <w:rsid w:val="00E35AC2"/>
    <w:rPr>
      <w:i/>
      <w:iCs/>
    </w:rPr>
  </w:style>
  <w:style w:type="character" w:customStyle="1" w:styleId="ListLabel1">
    <w:name w:val="ListLabel 1"/>
    <w:qFormat/>
    <w:rPr>
      <w:sz w:val="20"/>
    </w:rPr>
  </w:style>
  <w:style w:type="paragraph" w:customStyle="1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customStyle="1" w:styleId="TextBody">
    <w:name w:val="Text Body"/>
    <w:basedOn w:val="Normal"/>
    <w:link w:val="TextoindependienteCar"/>
    <w:uiPriority w:val="99"/>
    <w:semiHidden/>
    <w:unhideWhenUsed/>
    <w:rsid w:val="00D41C7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List">
    <w:name w:val="List"/>
    <w:basedOn w:val="TextBody"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FreeSans"/>
    </w:rPr>
  </w:style>
  <w:style w:type="paragraph" w:styleId="CommentText">
    <w:name w:val="annotation text"/>
    <w:basedOn w:val="Normal"/>
    <w:link w:val="CommentTextChar"/>
    <w:uiPriority w:val="99"/>
    <w:semiHidden/>
    <w:unhideWhenUsed/>
    <w:qFormat/>
    <w:rsid w:val="00D4442C"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link w:val="CommentSubjectChar"/>
    <w:uiPriority w:val="99"/>
    <w:semiHidden/>
    <w:unhideWhenUsed/>
    <w:qFormat/>
    <w:rsid w:val="00D4442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D4442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qFormat/>
    <w:rsid w:val="00642604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BodyText3Char"/>
    <w:uiPriority w:val="99"/>
    <w:semiHidden/>
    <w:unhideWhenUsed/>
    <w:qFormat/>
    <w:rsid w:val="00D41C7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qFormat/>
    <w:rsid w:val="00DD1874"/>
    <w:pPr>
      <w:suppressAutoHyphens/>
      <w:spacing w:line="240" w:lineRule="auto"/>
    </w:pPr>
    <w:rPr>
      <w:rFonts w:ascii="Arial" w:eastAsia="Calibri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  <w:spacing w:after="200"/>
    </w:pPr>
    <w:rPr>
      <w:color w:val="00000A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B33C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D41C76"/>
    <w:pPr>
      <w:spacing w:beforeAutospacing="1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qFormat/>
    <w:rsid w:val="00D4442C"/>
    <w:rPr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sid w:val="00D4442C"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sid w:val="00D4442C"/>
    <w:rPr>
      <w:b/>
      <w:bCs/>
      <w:sz w:val="20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D4442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qFormat/>
    <w:rsid w:val="00642604"/>
  </w:style>
  <w:style w:type="character" w:styleId="EndnoteReference">
    <w:name w:val="endnote reference"/>
    <w:basedOn w:val="DefaultParagraphFont"/>
    <w:uiPriority w:val="99"/>
    <w:semiHidden/>
    <w:unhideWhenUsed/>
    <w:qFormat/>
    <w:rsid w:val="00642604"/>
  </w:style>
  <w:style w:type="character" w:customStyle="1" w:styleId="spelle">
    <w:name w:val="spelle"/>
    <w:basedOn w:val="DefaultParagraphFont"/>
    <w:qFormat/>
    <w:rsid w:val="00642604"/>
  </w:style>
  <w:style w:type="character" w:customStyle="1" w:styleId="grame">
    <w:name w:val="grame"/>
    <w:basedOn w:val="DefaultParagraphFont"/>
    <w:qFormat/>
    <w:rsid w:val="00642604"/>
  </w:style>
  <w:style w:type="character" w:customStyle="1" w:styleId="Heading2Char">
    <w:name w:val="Heading 2 Char"/>
    <w:basedOn w:val="DefaultParagraphFont"/>
    <w:link w:val="Heading2"/>
    <w:uiPriority w:val="9"/>
    <w:qFormat/>
    <w:rsid w:val="00D41C76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customStyle="1" w:styleId="TextoindependienteCar">
    <w:name w:val="Texto independiente Car"/>
    <w:basedOn w:val="DefaultParagraphFont"/>
    <w:link w:val="TextBody"/>
    <w:uiPriority w:val="99"/>
    <w:semiHidden/>
    <w:qFormat/>
    <w:rsid w:val="00D41C76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qFormat/>
    <w:rsid w:val="00D41C76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tab-span">
    <w:name w:val="apple-tab-span"/>
    <w:basedOn w:val="DefaultParagraphFont"/>
    <w:qFormat/>
    <w:rsid w:val="00D971F5"/>
  </w:style>
  <w:style w:type="character" w:customStyle="1" w:styleId="Heading1Char">
    <w:name w:val="Heading 1 Char"/>
    <w:basedOn w:val="DefaultParagraphFont"/>
    <w:link w:val="Heading1"/>
    <w:uiPriority w:val="9"/>
    <w:qFormat/>
    <w:rsid w:val="00AB33C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ddmd">
    <w:name w:val="addmd"/>
    <w:basedOn w:val="DefaultParagraphFont"/>
    <w:qFormat/>
    <w:rsid w:val="00AB33CC"/>
  </w:style>
  <w:style w:type="character" w:customStyle="1" w:styleId="tituloartigo">
    <w:name w:val="titulo_artigo"/>
    <w:basedOn w:val="DefaultParagraphFont"/>
    <w:qFormat/>
    <w:rsid w:val="00406509"/>
  </w:style>
  <w:style w:type="character" w:customStyle="1" w:styleId="linhafina">
    <w:name w:val="linha_fina"/>
    <w:basedOn w:val="DefaultParagraphFont"/>
    <w:qFormat/>
    <w:rsid w:val="00406509"/>
  </w:style>
  <w:style w:type="character" w:styleId="Emphasis">
    <w:name w:val="Emphasis"/>
    <w:basedOn w:val="DefaultParagraphFont"/>
    <w:uiPriority w:val="20"/>
    <w:qFormat/>
    <w:rsid w:val="00E35AC2"/>
    <w:rPr>
      <w:i/>
      <w:iCs/>
    </w:rPr>
  </w:style>
  <w:style w:type="character" w:customStyle="1" w:styleId="ListLabel1">
    <w:name w:val="ListLabel 1"/>
    <w:qFormat/>
    <w:rPr>
      <w:sz w:val="20"/>
    </w:rPr>
  </w:style>
  <w:style w:type="paragraph" w:customStyle="1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customStyle="1" w:styleId="TextBody">
    <w:name w:val="Text Body"/>
    <w:basedOn w:val="Normal"/>
    <w:link w:val="TextoindependienteCar"/>
    <w:uiPriority w:val="99"/>
    <w:semiHidden/>
    <w:unhideWhenUsed/>
    <w:rsid w:val="00D41C7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List">
    <w:name w:val="List"/>
    <w:basedOn w:val="TextBody"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FreeSans"/>
    </w:rPr>
  </w:style>
  <w:style w:type="paragraph" w:styleId="CommentText">
    <w:name w:val="annotation text"/>
    <w:basedOn w:val="Normal"/>
    <w:link w:val="CommentTextChar"/>
    <w:uiPriority w:val="99"/>
    <w:semiHidden/>
    <w:unhideWhenUsed/>
    <w:qFormat/>
    <w:rsid w:val="00D4442C"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link w:val="CommentSubjectChar"/>
    <w:uiPriority w:val="99"/>
    <w:semiHidden/>
    <w:unhideWhenUsed/>
    <w:qFormat/>
    <w:rsid w:val="00D4442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D4442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qFormat/>
    <w:rsid w:val="00642604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BodyText3Char"/>
    <w:uiPriority w:val="99"/>
    <w:semiHidden/>
    <w:unhideWhenUsed/>
    <w:qFormat/>
    <w:rsid w:val="00D41C7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qFormat/>
    <w:rsid w:val="00DD1874"/>
    <w:pPr>
      <w:suppressAutoHyphens/>
      <w:spacing w:line="240" w:lineRule="auto"/>
    </w:pPr>
    <w:rPr>
      <w:rFonts w:ascii="Arial" w:eastAsia="Calibr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11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3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86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09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02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8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166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149295">
          <w:marLeft w:val="6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0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092365">
          <w:marLeft w:val="6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08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8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69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02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287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039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28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745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30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83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29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486193">
          <w:marLeft w:val="6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35DD45-F9F2-483A-896A-99E008507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4</Pages>
  <Words>1106</Words>
  <Characters>5974</Characters>
  <Application>Microsoft Office Word</Application>
  <DocSecurity>0</DocSecurity>
  <Lines>49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</dc:creator>
  <cp:lastModifiedBy>Amanda</cp:lastModifiedBy>
  <cp:revision>13</cp:revision>
  <dcterms:created xsi:type="dcterms:W3CDTF">2015-10-17T15:46:00Z</dcterms:created>
  <dcterms:modified xsi:type="dcterms:W3CDTF">2015-10-21T23:42:00Z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