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32" w:rsidRPr="004562A5" w:rsidRDefault="009C4F32" w:rsidP="004562A5">
      <w:pPr>
        <w:spacing w:after="240" w:line="240" w:lineRule="auto"/>
        <w:jc w:val="both"/>
        <w:rPr>
          <w:rFonts w:ascii="Times New Roman" w:hAnsi="Times New Roman" w:cs="Times New Roman"/>
          <w:sz w:val="24"/>
          <w:szCs w:val="24"/>
          <w:lang w:val="en-US"/>
        </w:rPr>
      </w:pPr>
      <w:bookmarkStart w:id="0" w:name="_GoBack"/>
      <w:bookmarkEnd w:id="0"/>
      <w:r w:rsidRPr="004562A5">
        <w:rPr>
          <w:rFonts w:ascii="Times New Roman" w:hAnsi="Times New Roman" w:cs="Times New Roman"/>
          <w:sz w:val="24"/>
          <w:szCs w:val="24"/>
          <w:lang w:val="en-US"/>
        </w:rPr>
        <w:t xml:space="preserve">Comparative Study of Social and Environmental Perspectives in the Development and Management of Resilient Micro Regions: The </w:t>
      </w:r>
      <w:proofErr w:type="spellStart"/>
      <w:r w:rsidRPr="004562A5">
        <w:rPr>
          <w:rFonts w:ascii="Times New Roman" w:hAnsi="Times New Roman" w:cs="Times New Roman"/>
          <w:sz w:val="24"/>
          <w:szCs w:val="24"/>
          <w:lang w:val="en-US"/>
        </w:rPr>
        <w:t>Itajaí</w:t>
      </w:r>
      <w:proofErr w:type="spellEnd"/>
      <w:r w:rsidRPr="004562A5">
        <w:rPr>
          <w:rFonts w:ascii="Times New Roman" w:hAnsi="Times New Roman" w:cs="Times New Roman"/>
          <w:sz w:val="24"/>
          <w:szCs w:val="24"/>
          <w:lang w:val="en-US"/>
        </w:rPr>
        <w:t xml:space="preserve"> </w:t>
      </w:r>
      <w:r w:rsidRPr="004562A5">
        <w:rPr>
          <w:rFonts w:ascii="Times New Roman" w:hAnsi="Times New Roman" w:cs="Times New Roman"/>
          <w:sz w:val="24"/>
          <w:szCs w:val="24"/>
          <w:lang w:val="en-US"/>
        </w:rPr>
        <w:t xml:space="preserve">Valley (Brazil) and the </w:t>
      </w:r>
      <w:r w:rsidRPr="004562A5">
        <w:rPr>
          <w:rFonts w:ascii="Times New Roman" w:hAnsi="Times New Roman" w:cs="Times New Roman"/>
          <w:sz w:val="24"/>
          <w:szCs w:val="24"/>
          <w:lang w:val="en-US"/>
        </w:rPr>
        <w:t xml:space="preserve">Seine </w:t>
      </w:r>
      <w:r w:rsidRPr="004562A5">
        <w:rPr>
          <w:rFonts w:ascii="Times New Roman" w:hAnsi="Times New Roman" w:cs="Times New Roman"/>
          <w:sz w:val="24"/>
          <w:szCs w:val="24"/>
          <w:lang w:val="en-US"/>
        </w:rPr>
        <w:t>Basin (France)</w:t>
      </w:r>
    </w:p>
    <w:p w:rsidR="00C410D6" w:rsidRPr="004562A5" w:rsidRDefault="00C410D6" w:rsidP="004562A5">
      <w:pPr>
        <w:spacing w:after="240" w:line="240" w:lineRule="auto"/>
        <w:jc w:val="both"/>
        <w:rPr>
          <w:rFonts w:ascii="Times New Roman" w:hAnsi="Times New Roman" w:cs="Times New Roman"/>
          <w:sz w:val="24"/>
          <w:szCs w:val="24"/>
          <w:lang w:val="en-US"/>
        </w:rPr>
      </w:pPr>
    </w:p>
    <w:p w:rsidR="00C410D6" w:rsidRPr="004562A5" w:rsidRDefault="00C410D6" w:rsidP="004562A5">
      <w:pPr>
        <w:spacing w:after="0" w:line="240" w:lineRule="auto"/>
        <w:jc w:val="both"/>
        <w:rPr>
          <w:rFonts w:ascii="Times New Roman" w:hAnsi="Times New Roman" w:cs="Times New Roman"/>
          <w:sz w:val="24"/>
          <w:szCs w:val="24"/>
          <w:lang w:val="en-US"/>
        </w:rPr>
      </w:pPr>
      <w:r w:rsidRPr="004562A5">
        <w:rPr>
          <w:rFonts w:ascii="Times New Roman" w:hAnsi="Times New Roman" w:cs="Times New Roman"/>
          <w:sz w:val="24"/>
          <w:szCs w:val="24"/>
          <w:lang w:val="en-US"/>
        </w:rPr>
        <w:tab/>
        <w:t>In Brazil, the regional development shows concerning deficiencies in awareness of social, environmental and economic relations in the planning and management of territorial structures. Despite the development of new approaches to planning and legal land management tools, planning of most Brazilian cities</w:t>
      </w:r>
      <w:r w:rsidR="004F1149" w:rsidRPr="004562A5">
        <w:rPr>
          <w:rFonts w:ascii="Times New Roman" w:hAnsi="Times New Roman" w:cs="Times New Roman"/>
          <w:sz w:val="24"/>
          <w:szCs w:val="24"/>
          <w:lang w:val="en-US"/>
        </w:rPr>
        <w:t xml:space="preserve"> and regions</w:t>
      </w:r>
      <w:r w:rsidRPr="004562A5">
        <w:rPr>
          <w:rFonts w:ascii="Times New Roman" w:hAnsi="Times New Roman" w:cs="Times New Roman"/>
          <w:sz w:val="24"/>
          <w:szCs w:val="24"/>
          <w:lang w:val="en-US"/>
        </w:rPr>
        <w:t xml:space="preserve"> have not yet considered important aspects such as, macro-drainage studies or geotechnical and environmental vulnerability maps (</w:t>
      </w:r>
      <w:proofErr w:type="spellStart"/>
      <w:r w:rsidRPr="004562A5">
        <w:rPr>
          <w:rFonts w:ascii="Times New Roman" w:hAnsi="Times New Roman" w:cs="Times New Roman"/>
          <w:sz w:val="24"/>
          <w:szCs w:val="24"/>
          <w:lang w:val="en-US"/>
        </w:rPr>
        <w:t>Tucci</w:t>
      </w:r>
      <w:proofErr w:type="spellEnd"/>
      <w:r w:rsidRPr="004562A5">
        <w:rPr>
          <w:rFonts w:ascii="Times New Roman" w:hAnsi="Times New Roman" w:cs="Times New Roman"/>
          <w:sz w:val="24"/>
          <w:szCs w:val="24"/>
          <w:lang w:val="en-US"/>
        </w:rPr>
        <w:t xml:space="preserve"> and </w:t>
      </w:r>
      <w:proofErr w:type="spellStart"/>
      <w:r w:rsidRPr="004562A5">
        <w:rPr>
          <w:rFonts w:ascii="Times New Roman" w:hAnsi="Times New Roman" w:cs="Times New Roman"/>
          <w:sz w:val="24"/>
          <w:szCs w:val="24"/>
          <w:lang w:val="en-US"/>
        </w:rPr>
        <w:t>Bertoni</w:t>
      </w:r>
      <w:proofErr w:type="spellEnd"/>
      <w:r w:rsidRPr="004562A5">
        <w:rPr>
          <w:rFonts w:ascii="Times New Roman" w:hAnsi="Times New Roman" w:cs="Times New Roman"/>
          <w:sz w:val="24"/>
          <w:szCs w:val="24"/>
          <w:lang w:val="en-US"/>
        </w:rPr>
        <w:t>, 2003). There is also a gap in the development of rural income programs, housing and effective social inclusion, thus facilitating the occupation of urban and rural areas subject to risk and increasing environmental and social vulnerability of the population.</w:t>
      </w:r>
    </w:p>
    <w:p w:rsidR="004F1149" w:rsidRPr="004562A5" w:rsidRDefault="004F1149" w:rsidP="004562A5">
      <w:pPr>
        <w:spacing w:after="0" w:line="240" w:lineRule="auto"/>
        <w:jc w:val="both"/>
        <w:rPr>
          <w:rFonts w:ascii="Times New Roman" w:hAnsi="Times New Roman" w:cs="Times New Roman"/>
          <w:sz w:val="24"/>
          <w:szCs w:val="24"/>
          <w:lang w:val="en-US"/>
        </w:rPr>
      </w:pPr>
      <w:r w:rsidRPr="004562A5">
        <w:rPr>
          <w:rFonts w:ascii="Times New Roman" w:hAnsi="Times New Roman" w:cs="Times New Roman"/>
          <w:sz w:val="24"/>
          <w:szCs w:val="24"/>
          <w:lang w:val="en-US"/>
        </w:rPr>
        <w:tab/>
        <w:t xml:space="preserve">Thus, </w:t>
      </w:r>
      <w:r w:rsidR="00A52F73" w:rsidRPr="004562A5">
        <w:rPr>
          <w:rFonts w:ascii="Times New Roman" w:hAnsi="Times New Roman" w:cs="Times New Roman"/>
          <w:sz w:val="24"/>
          <w:szCs w:val="24"/>
          <w:lang w:val="en-US"/>
        </w:rPr>
        <w:t xml:space="preserve">the </w:t>
      </w:r>
      <w:r w:rsidRPr="004562A5">
        <w:rPr>
          <w:rFonts w:ascii="Times New Roman" w:hAnsi="Times New Roman" w:cs="Times New Roman"/>
          <w:sz w:val="24"/>
          <w:szCs w:val="24"/>
          <w:lang w:val="en-US"/>
        </w:rPr>
        <w:t xml:space="preserve">understanding </w:t>
      </w:r>
      <w:r w:rsidR="00A52F73" w:rsidRPr="004562A5">
        <w:rPr>
          <w:rFonts w:ascii="Times New Roman" w:hAnsi="Times New Roman" w:cs="Times New Roman"/>
          <w:sz w:val="24"/>
          <w:szCs w:val="24"/>
          <w:lang w:val="en-US"/>
        </w:rPr>
        <w:t xml:space="preserve">of </w:t>
      </w:r>
      <w:r w:rsidRPr="004562A5">
        <w:rPr>
          <w:rFonts w:ascii="Times New Roman" w:hAnsi="Times New Roman" w:cs="Times New Roman"/>
          <w:sz w:val="24"/>
          <w:szCs w:val="24"/>
          <w:lang w:val="en-US"/>
        </w:rPr>
        <w:t>the need to develop skills to deal with cris</w:t>
      </w:r>
      <w:r w:rsidR="00CE5935" w:rsidRPr="004562A5">
        <w:rPr>
          <w:rFonts w:ascii="Times New Roman" w:hAnsi="Times New Roman" w:cs="Times New Roman"/>
          <w:sz w:val="24"/>
          <w:szCs w:val="24"/>
          <w:lang w:val="en-US"/>
        </w:rPr>
        <w:t>i</w:t>
      </w:r>
      <w:r w:rsidRPr="004562A5">
        <w:rPr>
          <w:rFonts w:ascii="Times New Roman" w:hAnsi="Times New Roman" w:cs="Times New Roman"/>
          <w:sz w:val="24"/>
          <w:szCs w:val="24"/>
          <w:lang w:val="en-US"/>
        </w:rPr>
        <w:t>s and shortages of all kinds within a process of development in Brazilian cities and regions lead us to the purpose of this article: to contribute to a thought on the possible construction of strategies and guidelines for structuring a governance system able to develop resilient territories.</w:t>
      </w:r>
    </w:p>
    <w:p w:rsidR="00B24321" w:rsidRPr="004562A5" w:rsidRDefault="00B24321" w:rsidP="004562A5">
      <w:pPr>
        <w:spacing w:after="0" w:line="240" w:lineRule="auto"/>
        <w:jc w:val="both"/>
        <w:rPr>
          <w:rFonts w:ascii="Times New Roman" w:hAnsi="Times New Roman" w:cs="Times New Roman"/>
          <w:sz w:val="24"/>
          <w:szCs w:val="24"/>
          <w:lang w:val="en-US"/>
        </w:rPr>
      </w:pPr>
      <w:r w:rsidRPr="004562A5">
        <w:rPr>
          <w:rFonts w:ascii="Times New Roman" w:hAnsi="Times New Roman" w:cs="Times New Roman"/>
          <w:sz w:val="24"/>
          <w:szCs w:val="24"/>
          <w:lang w:val="en-US"/>
        </w:rPr>
        <w:tab/>
        <w:t xml:space="preserve">To achieve this goal, this paper seeks to do a comparative study between French and Brazilian experiences in the context of mitigation of social and environmental vulnerabilities through public policy development in different and interconnected </w:t>
      </w:r>
      <w:r w:rsidRPr="004562A5">
        <w:rPr>
          <w:rFonts w:ascii="Times New Roman" w:hAnsi="Times New Roman" w:cs="Times New Roman"/>
          <w:sz w:val="24"/>
          <w:szCs w:val="24"/>
          <w:lang w:val="en-US"/>
        </w:rPr>
        <w:t>areas</w:t>
      </w:r>
      <w:r w:rsidRPr="004562A5">
        <w:rPr>
          <w:rFonts w:ascii="Times New Roman" w:hAnsi="Times New Roman" w:cs="Times New Roman"/>
          <w:sz w:val="24"/>
          <w:szCs w:val="24"/>
          <w:lang w:val="en-US"/>
        </w:rPr>
        <w:t>.</w:t>
      </w:r>
    </w:p>
    <w:p w:rsidR="00D9285B" w:rsidRPr="004562A5" w:rsidRDefault="00D9285B" w:rsidP="004562A5">
      <w:pPr>
        <w:spacing w:after="0" w:line="240" w:lineRule="auto"/>
        <w:jc w:val="both"/>
        <w:rPr>
          <w:rFonts w:ascii="Times New Roman" w:hAnsi="Times New Roman" w:cs="Times New Roman"/>
          <w:sz w:val="24"/>
          <w:szCs w:val="24"/>
          <w:lang w:val="en-US"/>
        </w:rPr>
      </w:pPr>
      <w:r w:rsidRPr="004562A5">
        <w:rPr>
          <w:rFonts w:ascii="Times New Roman" w:hAnsi="Times New Roman" w:cs="Times New Roman"/>
          <w:sz w:val="24"/>
          <w:szCs w:val="24"/>
          <w:lang w:val="en-US"/>
        </w:rPr>
        <w:tab/>
        <w:t xml:space="preserve">To check over the relationship between urban-regional planning and socio-environmental vulnerability, we choose as a case study the </w:t>
      </w:r>
      <w:proofErr w:type="spellStart"/>
      <w:r w:rsidRPr="004562A5">
        <w:rPr>
          <w:rFonts w:ascii="Times New Roman" w:hAnsi="Times New Roman" w:cs="Times New Roman"/>
          <w:sz w:val="24"/>
          <w:szCs w:val="24"/>
          <w:lang w:val="en-US"/>
        </w:rPr>
        <w:t>Itajaí</w:t>
      </w:r>
      <w:proofErr w:type="spellEnd"/>
      <w:r w:rsidRPr="004562A5">
        <w:rPr>
          <w:rFonts w:ascii="Times New Roman" w:hAnsi="Times New Roman" w:cs="Times New Roman"/>
          <w:sz w:val="24"/>
          <w:szCs w:val="24"/>
          <w:lang w:val="en-US"/>
        </w:rPr>
        <w:t xml:space="preserve"> Valley in Santa Catarina, which presents significant problems in relation to these issues, with deficiencies in their regional infrastructures, implying in aggravating the social inequality and the consequences of environmental disasters such as flooding in the cities of middle and lower Valley. To this reality is opposed that of the Seine Basin, in the region of Île-de-France, </w:t>
      </w:r>
      <w:r w:rsidR="00243110">
        <w:rPr>
          <w:rFonts w:ascii="Times New Roman" w:hAnsi="Times New Roman" w:cs="Times New Roman"/>
          <w:sz w:val="24"/>
          <w:szCs w:val="24"/>
          <w:lang w:val="en-US"/>
        </w:rPr>
        <w:t xml:space="preserve">France, </w:t>
      </w:r>
      <w:r w:rsidRPr="004562A5">
        <w:rPr>
          <w:rFonts w:ascii="Times New Roman" w:hAnsi="Times New Roman" w:cs="Times New Roman"/>
          <w:sz w:val="24"/>
          <w:szCs w:val="24"/>
          <w:lang w:val="en-US"/>
        </w:rPr>
        <w:t>where despite investments in protecting, the increase of urban development and interdependence of critical infrastructure have emphasized the environmental vulnerability (OECD, 2014).</w:t>
      </w:r>
    </w:p>
    <w:p w:rsidR="00D9285B" w:rsidRPr="004562A5" w:rsidRDefault="00D9285B" w:rsidP="004562A5">
      <w:pPr>
        <w:spacing w:after="0" w:line="240" w:lineRule="auto"/>
        <w:jc w:val="both"/>
        <w:rPr>
          <w:rFonts w:ascii="Times New Roman" w:hAnsi="Times New Roman" w:cs="Times New Roman"/>
          <w:sz w:val="24"/>
          <w:szCs w:val="24"/>
          <w:lang w:val="en-US"/>
        </w:rPr>
      </w:pPr>
      <w:r w:rsidRPr="004562A5">
        <w:rPr>
          <w:rFonts w:ascii="Times New Roman" w:hAnsi="Times New Roman" w:cs="Times New Roman"/>
          <w:sz w:val="24"/>
          <w:szCs w:val="24"/>
          <w:lang w:val="en-US"/>
        </w:rPr>
        <w:tab/>
        <w:t>The theoretical support for this comparative study is given by the concept of "resilience", understood in territorial studies as the ability of a system to absorb the impacts of natural disasters and still retain the functionality of its structure and learn to grow from shock. However, the broadening of the debate has shown us that the term involves deeper issues like the search to mitigate the production of "risk"</w:t>
      </w:r>
      <w:r w:rsidR="00B82A51" w:rsidRPr="004562A5">
        <w:rPr>
          <w:rFonts w:ascii="Times New Roman" w:hAnsi="Times New Roman" w:cs="Times New Roman"/>
          <w:sz w:val="24"/>
          <w:szCs w:val="24"/>
          <w:lang w:val="en-US"/>
        </w:rPr>
        <w:t>,</w:t>
      </w:r>
      <w:r w:rsidRPr="004562A5">
        <w:rPr>
          <w:rFonts w:ascii="Times New Roman" w:hAnsi="Times New Roman" w:cs="Times New Roman"/>
          <w:sz w:val="24"/>
          <w:szCs w:val="24"/>
          <w:lang w:val="en-US"/>
        </w:rPr>
        <w:t xml:space="preserve"> levels of vulnerability and other issues arising from the political and social construction of the territory (</w:t>
      </w:r>
      <w:proofErr w:type="spellStart"/>
      <w:r w:rsidRPr="004562A5">
        <w:rPr>
          <w:rFonts w:ascii="Times New Roman" w:hAnsi="Times New Roman" w:cs="Times New Roman"/>
          <w:sz w:val="24"/>
          <w:szCs w:val="24"/>
          <w:lang w:val="en-US"/>
        </w:rPr>
        <w:t>Regezza-Zitt</w:t>
      </w:r>
      <w:proofErr w:type="spellEnd"/>
      <w:r w:rsidRPr="004562A5">
        <w:rPr>
          <w:rFonts w:ascii="Times New Roman" w:hAnsi="Times New Roman" w:cs="Times New Roman"/>
          <w:sz w:val="24"/>
          <w:szCs w:val="24"/>
          <w:lang w:val="en-US"/>
        </w:rPr>
        <w:t>, 2012 and Siebert, 2009). Th</w:t>
      </w:r>
      <w:r w:rsidR="00B82A51" w:rsidRPr="004562A5">
        <w:rPr>
          <w:rFonts w:ascii="Times New Roman" w:hAnsi="Times New Roman" w:cs="Times New Roman"/>
          <w:sz w:val="24"/>
          <w:szCs w:val="24"/>
          <w:lang w:val="en-US"/>
        </w:rPr>
        <w:t>ereby</w:t>
      </w:r>
      <w:r w:rsidRPr="004562A5">
        <w:rPr>
          <w:rFonts w:ascii="Times New Roman" w:hAnsi="Times New Roman" w:cs="Times New Roman"/>
          <w:sz w:val="24"/>
          <w:szCs w:val="24"/>
          <w:lang w:val="en-US"/>
        </w:rPr>
        <w:t xml:space="preserve">, we propose a critical analysis of the environmental, socio-economic and political </w:t>
      </w:r>
      <w:r w:rsidR="00B82A51" w:rsidRPr="004562A5">
        <w:rPr>
          <w:rFonts w:ascii="Times New Roman" w:hAnsi="Times New Roman" w:cs="Times New Roman"/>
          <w:sz w:val="24"/>
          <w:szCs w:val="24"/>
          <w:lang w:val="en-US"/>
        </w:rPr>
        <w:t>context</w:t>
      </w:r>
      <w:r w:rsidR="00B82A51" w:rsidRPr="004562A5">
        <w:rPr>
          <w:rFonts w:ascii="Times New Roman" w:hAnsi="Times New Roman" w:cs="Times New Roman"/>
          <w:sz w:val="24"/>
          <w:szCs w:val="24"/>
          <w:lang w:val="en-US"/>
        </w:rPr>
        <w:t xml:space="preserve"> of the </w:t>
      </w:r>
      <w:r w:rsidR="00B82A51" w:rsidRPr="004562A5">
        <w:rPr>
          <w:rFonts w:ascii="Times New Roman" w:hAnsi="Times New Roman" w:cs="Times New Roman"/>
          <w:sz w:val="24"/>
          <w:szCs w:val="24"/>
          <w:lang w:val="en-US"/>
        </w:rPr>
        <w:t xml:space="preserve">studied </w:t>
      </w:r>
      <w:r w:rsidRPr="004562A5">
        <w:rPr>
          <w:rFonts w:ascii="Times New Roman" w:hAnsi="Times New Roman" w:cs="Times New Roman"/>
          <w:sz w:val="24"/>
          <w:szCs w:val="24"/>
          <w:lang w:val="en-US"/>
        </w:rPr>
        <w:t xml:space="preserve">regions </w:t>
      </w:r>
      <w:r w:rsidR="00B82A51" w:rsidRPr="004562A5">
        <w:rPr>
          <w:rFonts w:ascii="Times New Roman" w:hAnsi="Times New Roman" w:cs="Times New Roman"/>
          <w:sz w:val="24"/>
          <w:szCs w:val="24"/>
          <w:lang w:val="en-US"/>
        </w:rPr>
        <w:t>by</w:t>
      </w:r>
      <w:r w:rsidRPr="004562A5">
        <w:rPr>
          <w:rFonts w:ascii="Times New Roman" w:hAnsi="Times New Roman" w:cs="Times New Roman"/>
          <w:sz w:val="24"/>
          <w:szCs w:val="24"/>
          <w:lang w:val="en-US"/>
        </w:rPr>
        <w:t xml:space="preserve"> its social and environmental vulnerabilities in the search for a possible "strategic resilience" in the </w:t>
      </w:r>
      <w:r w:rsidR="00B82A51" w:rsidRPr="004562A5">
        <w:rPr>
          <w:rFonts w:ascii="Times New Roman" w:hAnsi="Times New Roman" w:cs="Times New Roman"/>
          <w:sz w:val="24"/>
          <w:szCs w:val="24"/>
          <w:lang w:val="en-US"/>
        </w:rPr>
        <w:t>anthropic</w:t>
      </w:r>
      <w:r w:rsidRPr="004562A5">
        <w:rPr>
          <w:rFonts w:ascii="Times New Roman" w:hAnsi="Times New Roman" w:cs="Times New Roman"/>
          <w:sz w:val="24"/>
          <w:szCs w:val="24"/>
          <w:lang w:val="en-US"/>
        </w:rPr>
        <w:t xml:space="preserve"> occupation of the territory that </w:t>
      </w:r>
      <w:r w:rsidR="00B82A51" w:rsidRPr="004562A5">
        <w:rPr>
          <w:rFonts w:ascii="Times New Roman" w:hAnsi="Times New Roman" w:cs="Times New Roman"/>
          <w:sz w:val="24"/>
          <w:szCs w:val="24"/>
          <w:lang w:val="en-US"/>
        </w:rPr>
        <w:t>can be able to reconcile</w:t>
      </w:r>
      <w:r w:rsidRPr="004562A5">
        <w:rPr>
          <w:rFonts w:ascii="Times New Roman" w:hAnsi="Times New Roman" w:cs="Times New Roman"/>
          <w:sz w:val="24"/>
          <w:szCs w:val="24"/>
          <w:lang w:val="en-US"/>
        </w:rPr>
        <w:t xml:space="preserve"> the natural original structure and its built structures.</w:t>
      </w:r>
    </w:p>
    <w:p w:rsidR="0067230A" w:rsidRPr="004562A5" w:rsidRDefault="0067230A" w:rsidP="004562A5">
      <w:pPr>
        <w:spacing w:after="0" w:line="240" w:lineRule="auto"/>
        <w:jc w:val="both"/>
        <w:rPr>
          <w:rFonts w:ascii="Times New Roman" w:hAnsi="Times New Roman" w:cs="Times New Roman"/>
          <w:sz w:val="24"/>
          <w:szCs w:val="24"/>
          <w:lang w:val="en-US"/>
        </w:rPr>
      </w:pPr>
      <w:r w:rsidRPr="004562A5">
        <w:rPr>
          <w:rFonts w:ascii="Times New Roman" w:hAnsi="Times New Roman" w:cs="Times New Roman"/>
          <w:sz w:val="24"/>
          <w:szCs w:val="24"/>
          <w:lang w:val="en-US"/>
        </w:rPr>
        <w:tab/>
        <w:t xml:space="preserve">This work also involves concern to broaden the debate on the implementation of public policies on regional and urban areas and on the use of urban instruments and management of the territory, since in Brazil and in France there were changes and significant advances in this area. In Brazil the advent of the City Statute in 2001 represented a victory for the establishment of a participatory governance, and inclusion of rural areas in the dynamics of planning. Particularly in the state of Santa Catarina Municipal Associations consolidated a process of inter-municipal cooperation since the 1990s that later (2003) was amended by creating a new political framework defined by </w:t>
      </w:r>
      <w:r w:rsidRPr="004562A5">
        <w:rPr>
          <w:rFonts w:ascii="Times New Roman" w:hAnsi="Times New Roman" w:cs="Times New Roman"/>
          <w:sz w:val="24"/>
          <w:szCs w:val="24"/>
          <w:lang w:val="en-US"/>
        </w:rPr>
        <w:lastRenderedPageBreak/>
        <w:t>Secretariats Regional Development (SRD) (</w:t>
      </w:r>
      <w:proofErr w:type="spellStart"/>
      <w:r w:rsidRPr="004562A5">
        <w:rPr>
          <w:rFonts w:ascii="Times New Roman" w:hAnsi="Times New Roman" w:cs="Times New Roman"/>
          <w:sz w:val="24"/>
          <w:szCs w:val="24"/>
          <w:lang w:val="en-US"/>
        </w:rPr>
        <w:t>Moraes</w:t>
      </w:r>
      <w:proofErr w:type="spellEnd"/>
      <w:r w:rsidRPr="004562A5">
        <w:rPr>
          <w:rFonts w:ascii="Times New Roman" w:hAnsi="Times New Roman" w:cs="Times New Roman"/>
          <w:sz w:val="24"/>
          <w:szCs w:val="24"/>
          <w:lang w:val="en-US"/>
        </w:rPr>
        <w:t>, 2006). In France where, unlike Brazil, there is the institutionalization of regional power</w:t>
      </w:r>
      <w:r w:rsidR="0082604E" w:rsidRPr="004562A5">
        <w:rPr>
          <w:rFonts w:ascii="Times New Roman" w:hAnsi="Times New Roman" w:cs="Times New Roman"/>
          <w:sz w:val="24"/>
          <w:szCs w:val="24"/>
          <w:lang w:val="en-US"/>
        </w:rPr>
        <w:t xml:space="preserve"> and</w:t>
      </w:r>
      <w:r w:rsidRPr="004562A5">
        <w:rPr>
          <w:rFonts w:ascii="Times New Roman" w:hAnsi="Times New Roman" w:cs="Times New Roman"/>
          <w:sz w:val="24"/>
          <w:szCs w:val="24"/>
          <w:lang w:val="en-US"/>
        </w:rPr>
        <w:t xml:space="preserve"> the mandatory production of documents such as the "</w:t>
      </w:r>
      <w:proofErr w:type="spellStart"/>
      <w:r w:rsidRPr="004562A5">
        <w:rPr>
          <w:rFonts w:ascii="Times New Roman" w:hAnsi="Times New Roman" w:cs="Times New Roman"/>
          <w:sz w:val="24"/>
          <w:szCs w:val="24"/>
          <w:lang w:val="en-US"/>
        </w:rPr>
        <w:t>Schéma</w:t>
      </w:r>
      <w:proofErr w:type="spellEnd"/>
      <w:r w:rsidRPr="004562A5">
        <w:rPr>
          <w:rFonts w:ascii="Times New Roman" w:hAnsi="Times New Roman" w:cs="Times New Roman"/>
          <w:sz w:val="24"/>
          <w:szCs w:val="24"/>
          <w:lang w:val="en-US"/>
        </w:rPr>
        <w:t xml:space="preserve"> </w:t>
      </w:r>
      <w:proofErr w:type="spellStart"/>
      <w:r w:rsidRPr="004562A5">
        <w:rPr>
          <w:rFonts w:ascii="Times New Roman" w:hAnsi="Times New Roman" w:cs="Times New Roman"/>
          <w:sz w:val="24"/>
          <w:szCs w:val="24"/>
          <w:lang w:val="en-US"/>
        </w:rPr>
        <w:t>Régional</w:t>
      </w:r>
      <w:proofErr w:type="spellEnd"/>
      <w:r w:rsidRPr="004562A5">
        <w:rPr>
          <w:rFonts w:ascii="Times New Roman" w:hAnsi="Times New Roman" w:cs="Times New Roman"/>
          <w:sz w:val="24"/>
          <w:szCs w:val="24"/>
          <w:lang w:val="en-US"/>
        </w:rPr>
        <w:t xml:space="preserve"> </w:t>
      </w:r>
      <w:proofErr w:type="spellStart"/>
      <w:r w:rsidRPr="004562A5">
        <w:rPr>
          <w:rFonts w:ascii="Times New Roman" w:hAnsi="Times New Roman" w:cs="Times New Roman"/>
          <w:sz w:val="24"/>
          <w:szCs w:val="24"/>
          <w:lang w:val="en-US"/>
        </w:rPr>
        <w:t>d'</w:t>
      </w:r>
      <w:r w:rsidR="0082604E" w:rsidRPr="004562A5">
        <w:rPr>
          <w:rFonts w:ascii="Times New Roman" w:hAnsi="Times New Roman" w:cs="Times New Roman"/>
          <w:sz w:val="24"/>
          <w:szCs w:val="24"/>
          <w:lang w:val="en-US"/>
        </w:rPr>
        <w:t>A</w:t>
      </w:r>
      <w:r w:rsidRPr="004562A5">
        <w:rPr>
          <w:rFonts w:ascii="Times New Roman" w:hAnsi="Times New Roman" w:cs="Times New Roman"/>
          <w:sz w:val="24"/>
          <w:szCs w:val="24"/>
          <w:lang w:val="en-US"/>
        </w:rPr>
        <w:t>ménagement</w:t>
      </w:r>
      <w:proofErr w:type="spellEnd"/>
      <w:r w:rsidRPr="004562A5">
        <w:rPr>
          <w:rFonts w:ascii="Times New Roman" w:hAnsi="Times New Roman" w:cs="Times New Roman"/>
          <w:sz w:val="24"/>
          <w:szCs w:val="24"/>
          <w:lang w:val="en-US"/>
        </w:rPr>
        <w:t xml:space="preserve"> et de </w:t>
      </w:r>
      <w:proofErr w:type="spellStart"/>
      <w:r w:rsidRPr="004562A5">
        <w:rPr>
          <w:rFonts w:ascii="Times New Roman" w:hAnsi="Times New Roman" w:cs="Times New Roman"/>
          <w:sz w:val="24"/>
          <w:szCs w:val="24"/>
          <w:lang w:val="en-US"/>
        </w:rPr>
        <w:t>Développement</w:t>
      </w:r>
      <w:proofErr w:type="spellEnd"/>
      <w:r w:rsidRPr="004562A5">
        <w:rPr>
          <w:rFonts w:ascii="Times New Roman" w:hAnsi="Times New Roman" w:cs="Times New Roman"/>
          <w:sz w:val="24"/>
          <w:szCs w:val="24"/>
          <w:lang w:val="en-US"/>
        </w:rPr>
        <w:t xml:space="preserve"> du </w:t>
      </w:r>
      <w:proofErr w:type="spellStart"/>
      <w:r w:rsidRPr="004562A5">
        <w:rPr>
          <w:rFonts w:ascii="Times New Roman" w:hAnsi="Times New Roman" w:cs="Times New Roman"/>
          <w:sz w:val="24"/>
          <w:szCs w:val="24"/>
          <w:lang w:val="en-US"/>
        </w:rPr>
        <w:t>Territoire</w:t>
      </w:r>
      <w:proofErr w:type="spellEnd"/>
      <w:r w:rsidRPr="004562A5">
        <w:rPr>
          <w:rFonts w:ascii="Times New Roman" w:hAnsi="Times New Roman" w:cs="Times New Roman"/>
          <w:sz w:val="24"/>
          <w:szCs w:val="24"/>
          <w:lang w:val="en-US"/>
        </w:rPr>
        <w:t xml:space="preserve"> (SRADT)" </w:t>
      </w:r>
      <w:r w:rsidR="0082604E" w:rsidRPr="004562A5">
        <w:rPr>
          <w:rFonts w:ascii="Times New Roman" w:hAnsi="Times New Roman" w:cs="Times New Roman"/>
          <w:sz w:val="24"/>
          <w:szCs w:val="24"/>
          <w:lang w:val="en-US"/>
        </w:rPr>
        <w:t>(</w:t>
      </w:r>
      <w:r w:rsidRPr="004562A5">
        <w:rPr>
          <w:rFonts w:ascii="Times New Roman" w:hAnsi="Times New Roman" w:cs="Times New Roman"/>
          <w:sz w:val="24"/>
          <w:szCs w:val="24"/>
          <w:lang w:val="en-US"/>
        </w:rPr>
        <w:t>that determines the medium-term orientations on sustainable development and defines the location objectives of the great equipment that must be consistent with national and regional policies</w:t>
      </w:r>
      <w:r w:rsidR="0082604E" w:rsidRPr="004562A5">
        <w:rPr>
          <w:rFonts w:ascii="Times New Roman" w:hAnsi="Times New Roman" w:cs="Times New Roman"/>
          <w:sz w:val="24"/>
          <w:szCs w:val="24"/>
          <w:lang w:val="en-US"/>
        </w:rPr>
        <w:t>)</w:t>
      </w:r>
      <w:r w:rsidRPr="004562A5">
        <w:rPr>
          <w:rFonts w:ascii="Times New Roman" w:hAnsi="Times New Roman" w:cs="Times New Roman"/>
          <w:sz w:val="24"/>
          <w:szCs w:val="24"/>
          <w:lang w:val="en-US"/>
        </w:rPr>
        <w:t xml:space="preserve"> (</w:t>
      </w:r>
      <w:r w:rsidR="0082604E" w:rsidRPr="004562A5">
        <w:rPr>
          <w:rFonts w:ascii="Times New Roman" w:hAnsi="Times New Roman" w:cs="Times New Roman"/>
          <w:sz w:val="24"/>
          <w:szCs w:val="24"/>
          <w:lang w:val="en-US"/>
        </w:rPr>
        <w:t>DILA</w:t>
      </w:r>
      <w:r w:rsidRPr="004562A5">
        <w:rPr>
          <w:rFonts w:ascii="Times New Roman" w:hAnsi="Times New Roman" w:cs="Times New Roman"/>
          <w:sz w:val="24"/>
          <w:szCs w:val="24"/>
          <w:lang w:val="en-US"/>
        </w:rPr>
        <w:t xml:space="preserve">, 2010) seem to support better policy development for territorial portions that go beyond the limits of the municipalities. In addition, recent (2015) changes in the delimitation of the great regions of the country in order to strengthen them and to facilitate interregional cooperation within Europe </w:t>
      </w:r>
      <w:r w:rsidR="0082604E" w:rsidRPr="004562A5">
        <w:rPr>
          <w:rFonts w:ascii="Times New Roman" w:hAnsi="Times New Roman" w:cs="Times New Roman"/>
          <w:sz w:val="24"/>
          <w:szCs w:val="24"/>
          <w:lang w:val="en-US"/>
        </w:rPr>
        <w:t>are</w:t>
      </w:r>
      <w:r w:rsidRPr="004562A5">
        <w:rPr>
          <w:rFonts w:ascii="Times New Roman" w:hAnsi="Times New Roman" w:cs="Times New Roman"/>
          <w:sz w:val="24"/>
          <w:szCs w:val="24"/>
          <w:lang w:val="en-US"/>
        </w:rPr>
        <w:t xml:space="preserve"> still being test</w:t>
      </w:r>
      <w:r w:rsidR="0082604E" w:rsidRPr="004562A5">
        <w:rPr>
          <w:rFonts w:ascii="Times New Roman" w:hAnsi="Times New Roman" w:cs="Times New Roman"/>
          <w:sz w:val="24"/>
          <w:szCs w:val="24"/>
          <w:lang w:val="en-US"/>
        </w:rPr>
        <w:t>ed</w:t>
      </w:r>
      <w:r w:rsidRPr="004562A5">
        <w:rPr>
          <w:rFonts w:ascii="Times New Roman" w:hAnsi="Times New Roman" w:cs="Times New Roman"/>
          <w:sz w:val="24"/>
          <w:szCs w:val="24"/>
          <w:lang w:val="en-US"/>
        </w:rPr>
        <w:t>.</w:t>
      </w:r>
    </w:p>
    <w:p w:rsidR="006D4026" w:rsidRDefault="00036B1B" w:rsidP="00036B1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36B1B">
        <w:rPr>
          <w:rFonts w:ascii="Times New Roman" w:hAnsi="Times New Roman" w:cs="Times New Roman"/>
          <w:sz w:val="24"/>
          <w:szCs w:val="24"/>
          <w:lang w:val="en-US"/>
        </w:rPr>
        <w:t xml:space="preserve">We understand, therefore, that in the contemporary context </w:t>
      </w:r>
      <w:r>
        <w:rPr>
          <w:rFonts w:ascii="Times New Roman" w:hAnsi="Times New Roman" w:cs="Times New Roman"/>
          <w:sz w:val="24"/>
          <w:szCs w:val="24"/>
          <w:lang w:val="en-US"/>
        </w:rPr>
        <w:t xml:space="preserve">it </w:t>
      </w:r>
      <w:r w:rsidRPr="00036B1B">
        <w:rPr>
          <w:rFonts w:ascii="Times New Roman" w:hAnsi="Times New Roman" w:cs="Times New Roman"/>
          <w:sz w:val="24"/>
          <w:szCs w:val="24"/>
          <w:lang w:val="en-US"/>
        </w:rPr>
        <w:t xml:space="preserve">is imperative that the territorial organization and development frameworks incorporate socio-cultural, environmental and economic issues in a balanced way, ensuring a conscious </w:t>
      </w:r>
      <w:r>
        <w:rPr>
          <w:rFonts w:ascii="Times New Roman" w:hAnsi="Times New Roman" w:cs="Times New Roman"/>
          <w:sz w:val="24"/>
          <w:szCs w:val="24"/>
          <w:lang w:val="en-US"/>
        </w:rPr>
        <w:t xml:space="preserve">territorial </w:t>
      </w:r>
      <w:r w:rsidRPr="00036B1B">
        <w:rPr>
          <w:rFonts w:ascii="Times New Roman" w:hAnsi="Times New Roman" w:cs="Times New Roman"/>
          <w:sz w:val="24"/>
          <w:szCs w:val="24"/>
          <w:lang w:val="en-US"/>
        </w:rPr>
        <w:t xml:space="preserve">development commitment. Within this goal, we seek to move forward in this debate incorporating ideas of "sustainable-resilient development" within a broad process that will address environmental and economic issues together with those implied citizenship, the strengthening of local </w:t>
      </w:r>
      <w:r w:rsidRPr="00036B1B">
        <w:rPr>
          <w:rFonts w:ascii="Times New Roman" w:hAnsi="Times New Roman" w:cs="Times New Roman"/>
          <w:sz w:val="24"/>
          <w:szCs w:val="24"/>
          <w:lang w:val="en-US"/>
        </w:rPr>
        <w:t>identities</w:t>
      </w:r>
      <w:r w:rsidRPr="00036B1B">
        <w:rPr>
          <w:rFonts w:ascii="Times New Roman" w:hAnsi="Times New Roman" w:cs="Times New Roman"/>
          <w:sz w:val="24"/>
          <w:szCs w:val="24"/>
          <w:lang w:val="en-US"/>
        </w:rPr>
        <w:t xml:space="preserve"> and social justice.</w:t>
      </w:r>
    </w:p>
    <w:p w:rsidR="00036B1B" w:rsidRPr="004562A5" w:rsidRDefault="00036B1B" w:rsidP="00036B1B">
      <w:pPr>
        <w:spacing w:after="0" w:line="240" w:lineRule="auto"/>
        <w:jc w:val="both"/>
        <w:rPr>
          <w:rFonts w:ascii="Times New Roman" w:hAnsi="Times New Roman" w:cs="Times New Roman"/>
          <w:sz w:val="24"/>
          <w:szCs w:val="24"/>
          <w:lang w:val="en-US"/>
        </w:rPr>
      </w:pPr>
    </w:p>
    <w:p w:rsidR="006D4026" w:rsidRPr="004562A5" w:rsidRDefault="006D4026" w:rsidP="00B24321">
      <w:pPr>
        <w:spacing w:after="0" w:line="360" w:lineRule="auto"/>
        <w:jc w:val="both"/>
        <w:rPr>
          <w:rFonts w:ascii="Times New Roman" w:hAnsi="Times New Roman" w:cs="Times New Roman"/>
          <w:sz w:val="24"/>
          <w:szCs w:val="24"/>
          <w:lang w:val="fr-FR"/>
        </w:rPr>
      </w:pPr>
      <w:r w:rsidRPr="004562A5">
        <w:rPr>
          <w:rFonts w:ascii="Times New Roman" w:hAnsi="Times New Roman" w:cs="Times New Roman"/>
          <w:sz w:val="24"/>
          <w:szCs w:val="24"/>
          <w:lang w:val="fr-FR"/>
        </w:rPr>
        <w:t>References</w:t>
      </w:r>
    </w:p>
    <w:p w:rsidR="006D4026" w:rsidRPr="004562A5" w:rsidRDefault="006D4026" w:rsidP="006D4026">
      <w:pPr>
        <w:spacing w:after="0" w:line="240" w:lineRule="auto"/>
        <w:ind w:left="567" w:hanging="567"/>
        <w:outlineLvl w:val="0"/>
        <w:rPr>
          <w:rFonts w:ascii="Times New Roman" w:eastAsia="Times New Roman" w:hAnsi="Times New Roman" w:cs="Times New Roman"/>
          <w:bCs/>
          <w:kern w:val="36"/>
          <w:sz w:val="24"/>
          <w:szCs w:val="24"/>
          <w:lang w:val="fr-FR" w:eastAsia="pt-BR"/>
        </w:rPr>
      </w:pPr>
      <w:r w:rsidRPr="004562A5">
        <w:rPr>
          <w:rFonts w:ascii="Times New Roman" w:eastAsia="Times New Roman" w:hAnsi="Times New Roman" w:cs="Times New Roman"/>
          <w:bCs/>
          <w:kern w:val="36"/>
          <w:sz w:val="24"/>
          <w:szCs w:val="24"/>
          <w:lang w:val="fr-FR" w:eastAsia="pt-BR"/>
        </w:rPr>
        <w:t>DILA - D</w:t>
      </w:r>
      <w:r w:rsidRPr="004562A5">
        <w:rPr>
          <w:rFonts w:ascii="Times New Roman" w:eastAsia="Times New Roman" w:hAnsi="Times New Roman" w:cs="Times New Roman"/>
          <w:bCs/>
          <w:kern w:val="36"/>
          <w:sz w:val="24"/>
          <w:szCs w:val="24"/>
          <w:lang w:eastAsia="pt-BR"/>
        </w:rPr>
        <w:fldChar w:fldCharType="begin"/>
      </w:r>
      <w:r w:rsidRPr="004562A5">
        <w:rPr>
          <w:rFonts w:ascii="Times New Roman" w:eastAsia="Times New Roman" w:hAnsi="Times New Roman" w:cs="Times New Roman"/>
          <w:bCs/>
          <w:kern w:val="36"/>
          <w:sz w:val="24"/>
          <w:szCs w:val="24"/>
          <w:lang w:val="fr-FR" w:eastAsia="pt-BR"/>
        </w:rPr>
        <w:instrText xml:space="preserve"> HYPERLINK "http://www.dila.premier-ministre.gouv.fr/" \o "Accueil" </w:instrText>
      </w:r>
      <w:r w:rsidRPr="004562A5">
        <w:rPr>
          <w:rFonts w:ascii="Times New Roman" w:eastAsia="Times New Roman" w:hAnsi="Times New Roman" w:cs="Times New Roman"/>
          <w:bCs/>
          <w:kern w:val="36"/>
          <w:sz w:val="24"/>
          <w:szCs w:val="24"/>
          <w:lang w:eastAsia="pt-BR"/>
        </w:rPr>
        <w:fldChar w:fldCharType="separate"/>
      </w:r>
      <w:r w:rsidRPr="004562A5">
        <w:rPr>
          <w:rFonts w:ascii="Times New Roman" w:eastAsia="Times New Roman" w:hAnsi="Times New Roman" w:cs="Times New Roman"/>
          <w:bCs/>
          <w:kern w:val="36"/>
          <w:sz w:val="24"/>
          <w:szCs w:val="24"/>
          <w:lang w:val="fr-FR" w:eastAsia="pt-BR"/>
        </w:rPr>
        <w:t>irection de l’information légale et administrative</w:t>
      </w:r>
      <w:r w:rsidRPr="004562A5">
        <w:rPr>
          <w:rFonts w:ascii="Times New Roman" w:eastAsia="Times New Roman" w:hAnsi="Times New Roman" w:cs="Times New Roman"/>
          <w:bCs/>
          <w:kern w:val="36"/>
          <w:sz w:val="24"/>
          <w:szCs w:val="24"/>
          <w:lang w:eastAsia="pt-BR"/>
        </w:rPr>
        <w:fldChar w:fldCharType="end"/>
      </w:r>
      <w:r w:rsidRPr="004562A5">
        <w:rPr>
          <w:rFonts w:ascii="Times New Roman" w:eastAsia="Times New Roman" w:hAnsi="Times New Roman" w:cs="Times New Roman"/>
          <w:bCs/>
          <w:kern w:val="36"/>
          <w:sz w:val="24"/>
          <w:szCs w:val="24"/>
          <w:lang w:val="fr-FR" w:eastAsia="pt-BR"/>
        </w:rPr>
        <w:t xml:space="preserve"> – Vie Public, 09/02/2010 in: </w:t>
      </w:r>
    </w:p>
    <w:p w:rsidR="006D4026" w:rsidRPr="004562A5" w:rsidRDefault="006D4026" w:rsidP="006D4026">
      <w:pPr>
        <w:spacing w:after="0" w:line="240" w:lineRule="auto"/>
        <w:ind w:left="567"/>
        <w:outlineLvl w:val="0"/>
        <w:rPr>
          <w:rFonts w:ascii="Times New Roman" w:hAnsi="Times New Roman" w:cs="Times New Roman"/>
          <w:b/>
          <w:sz w:val="24"/>
          <w:szCs w:val="24"/>
          <w:lang w:val="fr-FR"/>
        </w:rPr>
      </w:pPr>
      <w:hyperlink r:id="rId7" w:history="1">
        <w:r w:rsidRPr="004562A5">
          <w:rPr>
            <w:rStyle w:val="Hyperlink"/>
            <w:rFonts w:ascii="Times New Roman" w:hAnsi="Times New Roman" w:cs="Times New Roman"/>
            <w:b/>
            <w:color w:val="auto"/>
            <w:sz w:val="24"/>
            <w:szCs w:val="24"/>
            <w:lang w:val="fr-FR"/>
          </w:rPr>
          <w:t>http://www.vie-publique.fr/actualite/dossier/elections-regionales-2010/competences-regions-apercu-avant-reforme.html</w:t>
        </w:r>
      </w:hyperlink>
    </w:p>
    <w:p w:rsidR="006D4026" w:rsidRPr="004562A5" w:rsidRDefault="006D4026" w:rsidP="006D4026">
      <w:pPr>
        <w:spacing w:after="0"/>
        <w:ind w:left="567"/>
        <w:jc w:val="both"/>
        <w:rPr>
          <w:rFonts w:ascii="Times New Roman" w:hAnsi="Times New Roman" w:cs="Times New Roman"/>
          <w:sz w:val="24"/>
          <w:szCs w:val="24"/>
        </w:rPr>
      </w:pPr>
      <w:proofErr w:type="spellStart"/>
      <w:proofErr w:type="gramStart"/>
      <w:r w:rsidRPr="004562A5">
        <w:rPr>
          <w:rFonts w:ascii="Times New Roman" w:hAnsi="Times New Roman" w:cs="Times New Roman"/>
          <w:sz w:val="24"/>
          <w:szCs w:val="24"/>
        </w:rPr>
        <w:t>acess</w:t>
      </w:r>
      <w:r w:rsidR="00AF33F2" w:rsidRPr="004562A5">
        <w:rPr>
          <w:rFonts w:ascii="Times New Roman" w:hAnsi="Times New Roman" w:cs="Times New Roman"/>
          <w:sz w:val="24"/>
          <w:szCs w:val="24"/>
        </w:rPr>
        <w:t>ed</w:t>
      </w:r>
      <w:proofErr w:type="spellEnd"/>
      <w:proofErr w:type="gramEnd"/>
      <w:r w:rsidRPr="004562A5">
        <w:rPr>
          <w:rFonts w:ascii="Times New Roman" w:hAnsi="Times New Roman" w:cs="Times New Roman"/>
          <w:sz w:val="24"/>
          <w:szCs w:val="24"/>
        </w:rPr>
        <w:t xml:space="preserve"> in 15/10/2015</w:t>
      </w:r>
    </w:p>
    <w:p w:rsidR="006D4026" w:rsidRPr="004562A5" w:rsidRDefault="006D4026" w:rsidP="006D4026">
      <w:pPr>
        <w:spacing w:after="0"/>
        <w:ind w:left="567"/>
        <w:jc w:val="both"/>
        <w:rPr>
          <w:rFonts w:ascii="Times New Roman" w:hAnsi="Times New Roman" w:cs="Times New Roman"/>
          <w:sz w:val="24"/>
          <w:szCs w:val="24"/>
        </w:rPr>
      </w:pPr>
    </w:p>
    <w:p w:rsidR="006D4026" w:rsidRPr="004562A5" w:rsidRDefault="006D4026" w:rsidP="006D4026">
      <w:pPr>
        <w:pStyle w:val="Corpodetexto2"/>
        <w:spacing w:after="240"/>
        <w:ind w:left="426" w:hanging="426"/>
        <w:rPr>
          <w:rFonts w:ascii="Times New Roman" w:hAnsi="Times New Roman" w:cs="Times New Roman"/>
          <w:b w:val="0"/>
          <w:color w:val="auto"/>
          <w:u w:val="none"/>
          <w:lang w:val="en-US"/>
        </w:rPr>
      </w:pPr>
      <w:r w:rsidRPr="004562A5">
        <w:rPr>
          <w:rFonts w:ascii="Times New Roman" w:hAnsi="Times New Roman" w:cs="Times New Roman"/>
          <w:b w:val="0"/>
          <w:color w:val="auto"/>
          <w:u w:val="none"/>
        </w:rPr>
        <w:t xml:space="preserve">MORAES, Sergio Torres. </w:t>
      </w:r>
      <w:r w:rsidRPr="004562A5">
        <w:rPr>
          <w:rFonts w:ascii="Times New Roman" w:hAnsi="Times New Roman" w:cs="Times New Roman"/>
          <w:color w:val="auto"/>
          <w:u w:val="none"/>
        </w:rPr>
        <w:t>A permeabilidade em corredores de transporte como fator de sustentabilidade regional.</w:t>
      </w:r>
      <w:r w:rsidRPr="004562A5">
        <w:rPr>
          <w:rFonts w:ascii="Times New Roman" w:hAnsi="Times New Roman" w:cs="Times New Roman"/>
          <w:b w:val="0"/>
          <w:color w:val="auto"/>
          <w:u w:val="none"/>
        </w:rPr>
        <w:t xml:space="preserve"> </w:t>
      </w:r>
      <w:r w:rsidRPr="004562A5">
        <w:rPr>
          <w:rFonts w:ascii="Times New Roman" w:hAnsi="Times New Roman" w:cs="Times New Roman"/>
          <w:b w:val="0"/>
          <w:color w:val="auto"/>
          <w:u w:val="none"/>
          <w:lang w:val="en-US"/>
        </w:rPr>
        <w:t xml:space="preserve">São Paulo: FAUUSP, </w:t>
      </w:r>
      <w:proofErr w:type="spellStart"/>
      <w:r w:rsidRPr="004562A5">
        <w:rPr>
          <w:rFonts w:ascii="Times New Roman" w:hAnsi="Times New Roman" w:cs="Times New Roman"/>
          <w:b w:val="0"/>
          <w:color w:val="auto"/>
          <w:u w:val="none"/>
          <w:lang w:val="en-US"/>
        </w:rPr>
        <w:t>tese</w:t>
      </w:r>
      <w:proofErr w:type="spellEnd"/>
      <w:r w:rsidRPr="004562A5">
        <w:rPr>
          <w:rFonts w:ascii="Times New Roman" w:hAnsi="Times New Roman" w:cs="Times New Roman"/>
          <w:b w:val="0"/>
          <w:color w:val="auto"/>
          <w:u w:val="none"/>
          <w:lang w:val="en-US"/>
        </w:rPr>
        <w:t xml:space="preserve"> de </w:t>
      </w:r>
      <w:proofErr w:type="spellStart"/>
      <w:r w:rsidRPr="004562A5">
        <w:rPr>
          <w:rFonts w:ascii="Times New Roman" w:hAnsi="Times New Roman" w:cs="Times New Roman"/>
          <w:b w:val="0"/>
          <w:color w:val="auto"/>
          <w:u w:val="none"/>
          <w:lang w:val="en-US"/>
        </w:rPr>
        <w:t>doutorado</w:t>
      </w:r>
      <w:proofErr w:type="spellEnd"/>
      <w:r w:rsidRPr="004562A5">
        <w:rPr>
          <w:rFonts w:ascii="Times New Roman" w:hAnsi="Times New Roman" w:cs="Times New Roman"/>
          <w:b w:val="0"/>
          <w:color w:val="auto"/>
          <w:u w:val="none"/>
          <w:lang w:val="en-US"/>
        </w:rPr>
        <w:t>, 2006.</w:t>
      </w:r>
    </w:p>
    <w:p w:rsidR="006D4026" w:rsidRPr="004562A5" w:rsidRDefault="006D4026" w:rsidP="0013695A">
      <w:pPr>
        <w:spacing w:after="240"/>
        <w:ind w:left="567" w:hanging="567"/>
        <w:jc w:val="both"/>
        <w:rPr>
          <w:rFonts w:ascii="Times New Roman" w:hAnsi="Times New Roman" w:cs="Times New Roman"/>
          <w:b/>
          <w:sz w:val="24"/>
          <w:szCs w:val="24"/>
          <w:lang w:val="en-US"/>
        </w:rPr>
      </w:pPr>
      <w:proofErr w:type="gramStart"/>
      <w:r w:rsidRPr="004562A5">
        <w:rPr>
          <w:rFonts w:ascii="Times New Roman" w:hAnsi="Times New Roman" w:cs="Times New Roman"/>
          <w:sz w:val="24"/>
          <w:szCs w:val="24"/>
          <w:lang w:val="en-US"/>
        </w:rPr>
        <w:t>OECD Reviews of Risk Management Policies.</w:t>
      </w:r>
      <w:proofErr w:type="gramEnd"/>
      <w:r w:rsidRPr="004562A5">
        <w:rPr>
          <w:rFonts w:ascii="Times New Roman" w:hAnsi="Times New Roman" w:cs="Times New Roman"/>
          <w:sz w:val="24"/>
          <w:szCs w:val="24"/>
          <w:lang w:val="en-US"/>
        </w:rPr>
        <w:t xml:space="preserve"> </w:t>
      </w:r>
      <w:r w:rsidRPr="004562A5">
        <w:rPr>
          <w:rFonts w:ascii="Times New Roman" w:hAnsi="Times New Roman" w:cs="Times New Roman"/>
          <w:b/>
          <w:sz w:val="24"/>
          <w:szCs w:val="24"/>
          <w:lang w:val="en-US"/>
        </w:rPr>
        <w:t xml:space="preserve">Seine Basin, Île-de-France: Resilience to Major Floods. </w:t>
      </w:r>
      <w:proofErr w:type="gramStart"/>
      <w:r w:rsidRPr="004562A5">
        <w:rPr>
          <w:rFonts w:ascii="Times New Roman" w:hAnsi="Times New Roman" w:cs="Times New Roman"/>
          <w:sz w:val="24"/>
          <w:szCs w:val="24"/>
          <w:lang w:val="en-US"/>
        </w:rPr>
        <w:t>OECD, 2014.</w:t>
      </w:r>
      <w:proofErr w:type="gramEnd"/>
    </w:p>
    <w:p w:rsidR="006D4026" w:rsidRPr="004562A5" w:rsidRDefault="006D4026" w:rsidP="0013695A">
      <w:pPr>
        <w:pStyle w:val="NormalWeb"/>
        <w:spacing w:before="0" w:beforeAutospacing="0" w:after="240" w:afterAutospacing="0"/>
        <w:ind w:left="426" w:hanging="426"/>
        <w:jc w:val="both"/>
      </w:pPr>
      <w:r w:rsidRPr="004562A5">
        <w:rPr>
          <w:rStyle w:val="familyname"/>
          <w:bCs/>
          <w:lang w:val="en-US"/>
        </w:rPr>
        <w:t>REGHEZZA-ZITT</w:t>
      </w:r>
      <w:r w:rsidRPr="004562A5">
        <w:rPr>
          <w:rStyle w:val="familyname"/>
          <w:b/>
          <w:bCs/>
          <w:lang w:val="en-US"/>
        </w:rPr>
        <w:t>,</w:t>
      </w:r>
      <w:r w:rsidRPr="004562A5">
        <w:rPr>
          <w:rStyle w:val="Forte"/>
          <w:b w:val="0"/>
          <w:lang w:val="en-US"/>
        </w:rPr>
        <w:t xml:space="preserve"> </w:t>
      </w:r>
      <w:proofErr w:type="spellStart"/>
      <w:r w:rsidRPr="004562A5">
        <w:rPr>
          <w:rStyle w:val="Forte"/>
          <w:b w:val="0"/>
          <w:lang w:val="en-US"/>
        </w:rPr>
        <w:t>Magali</w:t>
      </w:r>
      <w:proofErr w:type="spellEnd"/>
      <w:r w:rsidRPr="004562A5">
        <w:rPr>
          <w:rStyle w:val="Forte"/>
          <w:b w:val="0"/>
          <w:lang w:val="en-US"/>
        </w:rPr>
        <w:t xml:space="preserve">; </w:t>
      </w:r>
      <w:r w:rsidRPr="004562A5">
        <w:rPr>
          <w:rStyle w:val="familyname"/>
          <w:bCs/>
          <w:lang w:val="en-US"/>
        </w:rPr>
        <w:t>RUFAT</w:t>
      </w:r>
      <w:r w:rsidRPr="004562A5">
        <w:rPr>
          <w:rStyle w:val="familyname"/>
          <w:b/>
          <w:bCs/>
          <w:lang w:val="en-US"/>
        </w:rPr>
        <w:t>,</w:t>
      </w:r>
      <w:r w:rsidRPr="004562A5">
        <w:rPr>
          <w:rStyle w:val="Forte"/>
          <w:b w:val="0"/>
          <w:lang w:val="en-US"/>
        </w:rPr>
        <w:t xml:space="preserve"> Samuel; </w:t>
      </w:r>
      <w:r w:rsidRPr="004562A5">
        <w:rPr>
          <w:rStyle w:val="familyname"/>
          <w:bCs/>
          <w:lang w:val="en-US"/>
        </w:rPr>
        <w:t>DJAMENT-TRAN</w:t>
      </w:r>
      <w:r w:rsidRPr="004562A5">
        <w:rPr>
          <w:rStyle w:val="familyname"/>
          <w:b/>
          <w:bCs/>
          <w:lang w:val="en-US"/>
        </w:rPr>
        <w:t>,</w:t>
      </w:r>
      <w:r w:rsidRPr="004562A5">
        <w:rPr>
          <w:rStyle w:val="Forte"/>
          <w:b w:val="0"/>
          <w:lang w:val="en-US"/>
        </w:rPr>
        <w:t xml:space="preserve"> </w:t>
      </w:r>
      <w:proofErr w:type="spellStart"/>
      <w:r w:rsidRPr="004562A5">
        <w:rPr>
          <w:rStyle w:val="Forte"/>
          <w:b w:val="0"/>
          <w:lang w:val="en-US"/>
        </w:rPr>
        <w:t>Géraldine</w:t>
      </w:r>
      <w:proofErr w:type="spellEnd"/>
      <w:r w:rsidRPr="004562A5">
        <w:rPr>
          <w:rStyle w:val="Forte"/>
          <w:b w:val="0"/>
          <w:lang w:val="en-US"/>
        </w:rPr>
        <w:t xml:space="preserve">; LE </w:t>
      </w:r>
      <w:r w:rsidRPr="004562A5">
        <w:rPr>
          <w:rStyle w:val="familyname"/>
          <w:bCs/>
          <w:lang w:val="en-US"/>
        </w:rPr>
        <w:t>BLANC</w:t>
      </w:r>
      <w:r w:rsidRPr="004562A5">
        <w:rPr>
          <w:rStyle w:val="familyname"/>
          <w:b/>
          <w:bCs/>
          <w:lang w:val="en-US"/>
        </w:rPr>
        <w:t>,</w:t>
      </w:r>
      <w:r w:rsidRPr="004562A5">
        <w:rPr>
          <w:rStyle w:val="Forte"/>
          <w:b w:val="0"/>
          <w:lang w:val="en-US"/>
        </w:rPr>
        <w:t xml:space="preserve"> Antoine et </w:t>
      </w:r>
      <w:r w:rsidRPr="004562A5">
        <w:rPr>
          <w:rStyle w:val="familyname"/>
          <w:bCs/>
          <w:lang w:val="en-US"/>
        </w:rPr>
        <w:t>LHOMME</w:t>
      </w:r>
      <w:r w:rsidRPr="004562A5">
        <w:rPr>
          <w:rStyle w:val="familyname"/>
          <w:b/>
          <w:bCs/>
          <w:lang w:val="en-US"/>
        </w:rPr>
        <w:t>,</w:t>
      </w:r>
      <w:r w:rsidRPr="004562A5">
        <w:rPr>
          <w:rStyle w:val="Forte"/>
          <w:b w:val="0"/>
          <w:lang w:val="en-US"/>
        </w:rPr>
        <w:t xml:space="preserve"> Serge</w:t>
      </w:r>
      <w:r w:rsidRPr="004562A5">
        <w:rPr>
          <w:b/>
          <w:lang w:val="en-US"/>
        </w:rPr>
        <w:t>,</w:t>
      </w:r>
      <w:r w:rsidRPr="004562A5">
        <w:rPr>
          <w:lang w:val="en-US"/>
        </w:rPr>
        <w:t xml:space="preserve"> «</w:t>
      </w:r>
      <w:r w:rsidRPr="004562A5">
        <w:rPr>
          <w:b/>
          <w:lang w:val="en-US"/>
        </w:rPr>
        <w:t>What Resilience Is Not: Uses and Abuses</w:t>
      </w:r>
      <w:r w:rsidRPr="004562A5">
        <w:rPr>
          <w:lang w:val="en-US"/>
        </w:rPr>
        <w:t xml:space="preserve">», </w:t>
      </w:r>
      <w:proofErr w:type="spellStart"/>
      <w:r w:rsidRPr="004562A5">
        <w:rPr>
          <w:rStyle w:val="nfase"/>
          <w:lang w:val="en-US"/>
        </w:rPr>
        <w:t>Cybergeo</w:t>
      </w:r>
      <w:proofErr w:type="spellEnd"/>
      <w:r w:rsidRPr="004562A5">
        <w:rPr>
          <w:rStyle w:val="nfase"/>
          <w:lang w:val="en-US"/>
        </w:rPr>
        <w:t xml:space="preserve"> : European Journal of Geography</w:t>
      </w:r>
      <w:r w:rsidRPr="004562A5">
        <w:rPr>
          <w:lang w:val="en-US"/>
        </w:rPr>
        <w:t xml:space="preserve"> [on line], </w:t>
      </w:r>
      <w:proofErr w:type="spellStart"/>
      <w:r w:rsidRPr="004562A5">
        <w:rPr>
          <w:lang w:val="en-US"/>
        </w:rPr>
        <w:t>Environnement</w:t>
      </w:r>
      <w:proofErr w:type="spellEnd"/>
      <w:r w:rsidRPr="004562A5">
        <w:rPr>
          <w:lang w:val="en-US"/>
        </w:rPr>
        <w:t xml:space="preserve">, Nature, </w:t>
      </w:r>
      <w:proofErr w:type="spellStart"/>
      <w:r w:rsidRPr="004562A5">
        <w:rPr>
          <w:lang w:val="en-US"/>
        </w:rPr>
        <w:t>Paysage</w:t>
      </w:r>
      <w:proofErr w:type="spellEnd"/>
      <w:r w:rsidRPr="004562A5">
        <w:rPr>
          <w:lang w:val="en-US"/>
        </w:rPr>
        <w:t xml:space="preserve">, document 621, on line since 18 </w:t>
      </w:r>
      <w:proofErr w:type="spellStart"/>
      <w:r w:rsidRPr="004562A5">
        <w:rPr>
          <w:lang w:val="en-US"/>
        </w:rPr>
        <w:t>october</w:t>
      </w:r>
      <w:proofErr w:type="spellEnd"/>
      <w:r w:rsidRPr="004562A5">
        <w:rPr>
          <w:lang w:val="en-US"/>
        </w:rPr>
        <w:t xml:space="preserve"> 2012, </w:t>
      </w:r>
      <w:proofErr w:type="spellStart"/>
      <w:r w:rsidRPr="004562A5">
        <w:rPr>
          <w:lang w:val="en-US"/>
        </w:rPr>
        <w:t>consulté</w:t>
      </w:r>
      <w:proofErr w:type="spellEnd"/>
      <w:r w:rsidRPr="004562A5">
        <w:rPr>
          <w:lang w:val="en-US"/>
        </w:rPr>
        <w:t xml:space="preserve"> le 15 mars 2014. </w:t>
      </w:r>
      <w:r w:rsidRPr="004562A5">
        <w:t>URL: http://cybergeo.revues.org/25554; DOI: 10.4000/</w:t>
      </w:r>
      <w:proofErr w:type="gramStart"/>
      <w:r w:rsidRPr="004562A5">
        <w:t>cybergeo.</w:t>
      </w:r>
      <w:proofErr w:type="gramEnd"/>
      <w:r w:rsidRPr="004562A5">
        <w:t xml:space="preserve">25554 </w:t>
      </w:r>
    </w:p>
    <w:p w:rsidR="006D4026" w:rsidRPr="004562A5" w:rsidRDefault="006D4026" w:rsidP="0013695A">
      <w:pPr>
        <w:autoSpaceDE w:val="0"/>
        <w:autoSpaceDN w:val="0"/>
        <w:adjustRightInd w:val="0"/>
        <w:spacing w:after="240" w:line="240" w:lineRule="auto"/>
        <w:ind w:left="425" w:hanging="425"/>
        <w:rPr>
          <w:rFonts w:ascii="Times New Roman" w:hAnsi="Times New Roman" w:cs="Times New Roman"/>
          <w:sz w:val="24"/>
          <w:szCs w:val="24"/>
        </w:rPr>
      </w:pPr>
      <w:r w:rsidRPr="004562A5">
        <w:rPr>
          <w:rFonts w:ascii="Times New Roman" w:hAnsi="Times New Roman" w:cs="Times New Roman"/>
          <w:sz w:val="24"/>
          <w:szCs w:val="24"/>
        </w:rPr>
        <w:t>SIEBERT, Claudia. (Des</w:t>
      </w:r>
      <w:proofErr w:type="gramStart"/>
      <w:r w:rsidRPr="004562A5">
        <w:rPr>
          <w:rFonts w:ascii="Times New Roman" w:hAnsi="Times New Roman" w:cs="Times New Roman"/>
          <w:sz w:val="24"/>
          <w:szCs w:val="24"/>
        </w:rPr>
        <w:t>)controle</w:t>
      </w:r>
      <w:proofErr w:type="gramEnd"/>
      <w:r w:rsidRPr="004562A5">
        <w:rPr>
          <w:rFonts w:ascii="Times New Roman" w:hAnsi="Times New Roman" w:cs="Times New Roman"/>
          <w:sz w:val="24"/>
          <w:szCs w:val="24"/>
        </w:rPr>
        <w:t xml:space="preserve"> urbano no Vale do Itajaí. </w:t>
      </w:r>
      <w:r w:rsidRPr="004562A5">
        <w:rPr>
          <w:rFonts w:ascii="Times New Roman" w:hAnsi="Times New Roman" w:cs="Times New Roman"/>
          <w:sz w:val="24"/>
          <w:szCs w:val="24"/>
          <w:lang w:val="en-US"/>
        </w:rPr>
        <w:t xml:space="preserve">In: Frank, </w:t>
      </w:r>
      <w:proofErr w:type="spellStart"/>
      <w:r w:rsidRPr="004562A5">
        <w:rPr>
          <w:rFonts w:ascii="Times New Roman" w:hAnsi="Times New Roman" w:cs="Times New Roman"/>
          <w:sz w:val="24"/>
          <w:szCs w:val="24"/>
          <w:lang w:val="en-US"/>
        </w:rPr>
        <w:t>Beate</w:t>
      </w:r>
      <w:proofErr w:type="spellEnd"/>
      <w:r w:rsidRPr="004562A5">
        <w:rPr>
          <w:rFonts w:ascii="Times New Roman" w:hAnsi="Times New Roman" w:cs="Times New Roman"/>
          <w:sz w:val="24"/>
          <w:szCs w:val="24"/>
          <w:lang w:val="en-US"/>
        </w:rPr>
        <w:t xml:space="preserve">; </w:t>
      </w:r>
      <w:proofErr w:type="spellStart"/>
      <w:r w:rsidRPr="004562A5">
        <w:rPr>
          <w:rFonts w:ascii="Times New Roman" w:hAnsi="Times New Roman" w:cs="Times New Roman"/>
          <w:sz w:val="24"/>
          <w:szCs w:val="24"/>
          <w:lang w:val="en-US"/>
        </w:rPr>
        <w:t>Sevegnani</w:t>
      </w:r>
      <w:proofErr w:type="spellEnd"/>
      <w:r w:rsidRPr="004562A5">
        <w:rPr>
          <w:rFonts w:ascii="Times New Roman" w:hAnsi="Times New Roman" w:cs="Times New Roman"/>
          <w:sz w:val="24"/>
          <w:szCs w:val="24"/>
          <w:lang w:val="en-US"/>
        </w:rPr>
        <w:t xml:space="preserve">, Lucia. </w:t>
      </w:r>
      <w:r w:rsidRPr="004562A5">
        <w:rPr>
          <w:rFonts w:ascii="Times New Roman" w:hAnsi="Times New Roman" w:cs="Times New Roman"/>
          <w:sz w:val="24"/>
          <w:szCs w:val="24"/>
        </w:rPr>
        <w:t xml:space="preserve">(Org.). </w:t>
      </w:r>
      <w:r w:rsidRPr="004562A5">
        <w:rPr>
          <w:rFonts w:ascii="Times New Roman" w:hAnsi="Times New Roman" w:cs="Times New Roman"/>
          <w:b/>
          <w:sz w:val="24"/>
          <w:szCs w:val="24"/>
        </w:rPr>
        <w:t>Desastre de 2008 no Vale do Itajaí: água, gente e política</w:t>
      </w:r>
      <w:r w:rsidRPr="004562A5">
        <w:rPr>
          <w:rFonts w:ascii="Times New Roman" w:hAnsi="Times New Roman" w:cs="Times New Roman"/>
          <w:sz w:val="24"/>
          <w:szCs w:val="24"/>
        </w:rPr>
        <w:t>. 1ª ed. Blumenau: Agência de Água do Vale do Itajaí, 2009, p. 38-51.</w:t>
      </w:r>
    </w:p>
    <w:p w:rsidR="006D4026" w:rsidRPr="004562A5" w:rsidRDefault="006D4026" w:rsidP="0013695A">
      <w:pPr>
        <w:spacing w:after="240" w:line="240" w:lineRule="auto"/>
        <w:ind w:left="425" w:hanging="425"/>
        <w:rPr>
          <w:rFonts w:ascii="Times New Roman" w:hAnsi="Times New Roman" w:cs="Times New Roman"/>
          <w:sz w:val="24"/>
          <w:szCs w:val="24"/>
        </w:rPr>
      </w:pPr>
      <w:r w:rsidRPr="004562A5">
        <w:rPr>
          <w:rFonts w:ascii="Times New Roman" w:hAnsi="Times New Roman" w:cs="Times New Roman"/>
          <w:sz w:val="24"/>
          <w:szCs w:val="24"/>
        </w:rPr>
        <w:t xml:space="preserve">TUCCI, Carlos E. M; BERTONI, Juan Carlos. </w:t>
      </w:r>
      <w:r w:rsidRPr="004562A5">
        <w:rPr>
          <w:rFonts w:ascii="Times New Roman" w:hAnsi="Times New Roman" w:cs="Times New Roman"/>
          <w:b/>
          <w:sz w:val="24"/>
          <w:szCs w:val="24"/>
        </w:rPr>
        <w:t>Inundações urbanas na América do Sul</w:t>
      </w:r>
      <w:r w:rsidRPr="004562A5">
        <w:rPr>
          <w:rFonts w:ascii="Times New Roman" w:hAnsi="Times New Roman" w:cs="Times New Roman"/>
          <w:sz w:val="24"/>
          <w:szCs w:val="24"/>
        </w:rPr>
        <w:t>. Porto Alegre: ABRH, 2003.</w:t>
      </w:r>
    </w:p>
    <w:p w:rsidR="006D4026" w:rsidRPr="004562A5" w:rsidRDefault="006D4026" w:rsidP="00B24321">
      <w:pPr>
        <w:spacing w:after="0" w:line="360" w:lineRule="auto"/>
        <w:jc w:val="both"/>
        <w:rPr>
          <w:rFonts w:ascii="Times New Roman" w:hAnsi="Times New Roman" w:cs="Times New Roman"/>
          <w:sz w:val="24"/>
          <w:szCs w:val="24"/>
          <w:lang w:val="en-US"/>
        </w:rPr>
      </w:pPr>
    </w:p>
    <w:sectPr w:rsidR="006D4026" w:rsidRPr="004562A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86" w:rsidRDefault="00960B86" w:rsidP="003B2CBE">
      <w:pPr>
        <w:spacing w:after="0" w:line="240" w:lineRule="auto"/>
      </w:pPr>
      <w:r>
        <w:separator/>
      </w:r>
    </w:p>
  </w:endnote>
  <w:endnote w:type="continuationSeparator" w:id="0">
    <w:p w:rsidR="00960B86" w:rsidRDefault="00960B86" w:rsidP="003B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86" w:rsidRDefault="00960B86" w:rsidP="003B2CBE">
      <w:pPr>
        <w:spacing w:after="0" w:line="240" w:lineRule="auto"/>
      </w:pPr>
      <w:r>
        <w:separator/>
      </w:r>
    </w:p>
  </w:footnote>
  <w:footnote w:type="continuationSeparator" w:id="0">
    <w:p w:rsidR="00960B86" w:rsidRDefault="00960B86" w:rsidP="003B2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2E"/>
    <w:rsid w:val="0000062F"/>
    <w:rsid w:val="00036B1B"/>
    <w:rsid w:val="00054FBB"/>
    <w:rsid w:val="00123F4E"/>
    <w:rsid w:val="0013695A"/>
    <w:rsid w:val="00165F3D"/>
    <w:rsid w:val="001F6543"/>
    <w:rsid w:val="002428BA"/>
    <w:rsid w:val="00243110"/>
    <w:rsid w:val="00243DA3"/>
    <w:rsid w:val="00254B45"/>
    <w:rsid w:val="00254D70"/>
    <w:rsid w:val="00265164"/>
    <w:rsid w:val="00265549"/>
    <w:rsid w:val="002975CE"/>
    <w:rsid w:val="002A01F4"/>
    <w:rsid w:val="002F2011"/>
    <w:rsid w:val="0033397D"/>
    <w:rsid w:val="00337BFA"/>
    <w:rsid w:val="00347DDA"/>
    <w:rsid w:val="003B2CBE"/>
    <w:rsid w:val="004245D2"/>
    <w:rsid w:val="004443AF"/>
    <w:rsid w:val="004518FD"/>
    <w:rsid w:val="004562A5"/>
    <w:rsid w:val="0046392E"/>
    <w:rsid w:val="004E5F2D"/>
    <w:rsid w:val="004F1149"/>
    <w:rsid w:val="00517465"/>
    <w:rsid w:val="00573779"/>
    <w:rsid w:val="0059015C"/>
    <w:rsid w:val="0063160C"/>
    <w:rsid w:val="0067230A"/>
    <w:rsid w:val="006B4994"/>
    <w:rsid w:val="006D4026"/>
    <w:rsid w:val="00711B6D"/>
    <w:rsid w:val="0076392C"/>
    <w:rsid w:val="00793514"/>
    <w:rsid w:val="007B63A1"/>
    <w:rsid w:val="0081385F"/>
    <w:rsid w:val="0082604E"/>
    <w:rsid w:val="00855534"/>
    <w:rsid w:val="00874FDE"/>
    <w:rsid w:val="00880392"/>
    <w:rsid w:val="00885669"/>
    <w:rsid w:val="00890A0D"/>
    <w:rsid w:val="008A372E"/>
    <w:rsid w:val="008A4B1B"/>
    <w:rsid w:val="008F083B"/>
    <w:rsid w:val="00960B86"/>
    <w:rsid w:val="00993009"/>
    <w:rsid w:val="009C4F32"/>
    <w:rsid w:val="00A30B15"/>
    <w:rsid w:val="00A34D69"/>
    <w:rsid w:val="00A50634"/>
    <w:rsid w:val="00A52F73"/>
    <w:rsid w:val="00A92B46"/>
    <w:rsid w:val="00AF33F2"/>
    <w:rsid w:val="00AF6B3D"/>
    <w:rsid w:val="00B02F35"/>
    <w:rsid w:val="00B24321"/>
    <w:rsid w:val="00B82A51"/>
    <w:rsid w:val="00BF233D"/>
    <w:rsid w:val="00C15D43"/>
    <w:rsid w:val="00C410D6"/>
    <w:rsid w:val="00C672F5"/>
    <w:rsid w:val="00CE5935"/>
    <w:rsid w:val="00D43479"/>
    <w:rsid w:val="00D9285B"/>
    <w:rsid w:val="00E36B59"/>
    <w:rsid w:val="00E53681"/>
    <w:rsid w:val="00E95B94"/>
    <w:rsid w:val="00EE5BE7"/>
    <w:rsid w:val="00F026BA"/>
    <w:rsid w:val="00F033D1"/>
    <w:rsid w:val="00F07939"/>
    <w:rsid w:val="00F47A62"/>
    <w:rsid w:val="00F62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F6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C15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semiHidden/>
    <w:rsid w:val="003B2CBE"/>
    <w:rPr>
      <w:rFonts w:ascii="Tahoma" w:hAnsi="Tahoma"/>
      <w:b/>
      <w:position w:val="8"/>
      <w:sz w:val="18"/>
    </w:rPr>
  </w:style>
  <w:style w:type="paragraph" w:styleId="Textodenotaderodap">
    <w:name w:val="footnote text"/>
    <w:basedOn w:val="Normal"/>
    <w:link w:val="TextodenotaderodapChar"/>
    <w:semiHidden/>
    <w:rsid w:val="003B2CBE"/>
    <w:pPr>
      <w:keepLines/>
      <w:widowControl w:val="0"/>
      <w:suppressLineNumbers/>
      <w:suppressAutoHyphens/>
      <w:spacing w:after="0" w:line="360" w:lineRule="auto"/>
      <w:ind w:left="340" w:right="851" w:hanging="340"/>
      <w:jc w:val="both"/>
    </w:pPr>
    <w:rPr>
      <w:rFonts w:ascii="Tahoma" w:eastAsia="Times New Roman" w:hAnsi="Tahoma" w:cs="Tahoma"/>
      <w:sz w:val="18"/>
      <w:szCs w:val="20"/>
    </w:rPr>
  </w:style>
  <w:style w:type="character" w:customStyle="1" w:styleId="TextodenotaderodapChar">
    <w:name w:val="Texto de nota de rodapé Char"/>
    <w:basedOn w:val="Fontepargpadro"/>
    <w:link w:val="Textodenotaderodap"/>
    <w:semiHidden/>
    <w:rsid w:val="003B2CBE"/>
    <w:rPr>
      <w:rFonts w:ascii="Tahoma" w:eastAsia="Times New Roman" w:hAnsi="Tahoma" w:cs="Tahoma"/>
      <w:sz w:val="18"/>
      <w:szCs w:val="20"/>
    </w:rPr>
  </w:style>
  <w:style w:type="character" w:styleId="Forte">
    <w:name w:val="Strong"/>
    <w:basedOn w:val="Fontepargpadro"/>
    <w:uiPriority w:val="22"/>
    <w:qFormat/>
    <w:rsid w:val="00C672F5"/>
    <w:rPr>
      <w:b/>
      <w:bCs/>
    </w:rPr>
  </w:style>
  <w:style w:type="character" w:customStyle="1" w:styleId="glmot">
    <w:name w:val="gl_mot"/>
    <w:basedOn w:val="Fontepargpadro"/>
    <w:rsid w:val="00C672F5"/>
  </w:style>
  <w:style w:type="character" w:customStyle="1" w:styleId="hps">
    <w:name w:val="hps"/>
    <w:basedOn w:val="Fontepargpadro"/>
    <w:rsid w:val="008A372E"/>
  </w:style>
  <w:style w:type="character" w:customStyle="1" w:styleId="Ttulo1Char">
    <w:name w:val="Título 1 Char"/>
    <w:basedOn w:val="Fontepargpadro"/>
    <w:link w:val="Ttulo1"/>
    <w:uiPriority w:val="9"/>
    <w:rsid w:val="00AF6B3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AF6B3D"/>
    <w:rPr>
      <w:color w:val="0000FF"/>
      <w:u w:val="single"/>
    </w:rPr>
  </w:style>
  <w:style w:type="character" w:customStyle="1" w:styleId="familyname">
    <w:name w:val="familyname"/>
    <w:basedOn w:val="Fontepargpadro"/>
    <w:rsid w:val="001F6543"/>
  </w:style>
  <w:style w:type="character" w:styleId="nfase">
    <w:name w:val="Emphasis"/>
    <w:basedOn w:val="Fontepargpadro"/>
    <w:uiPriority w:val="20"/>
    <w:qFormat/>
    <w:rsid w:val="001F6543"/>
    <w:rPr>
      <w:i/>
      <w:iCs/>
    </w:rPr>
  </w:style>
  <w:style w:type="paragraph" w:styleId="Corpodetexto2">
    <w:name w:val="Body Text 2"/>
    <w:basedOn w:val="Normal"/>
    <w:link w:val="Corpodetexto2Char"/>
    <w:semiHidden/>
    <w:rsid w:val="00993009"/>
    <w:pPr>
      <w:spacing w:after="0" w:line="240" w:lineRule="auto"/>
      <w:jc w:val="both"/>
    </w:pPr>
    <w:rPr>
      <w:rFonts w:ascii="Tahoma" w:eastAsia="Times New Roman" w:hAnsi="Tahoma" w:cs="Tahoma"/>
      <w:b/>
      <w:bCs/>
      <w:color w:val="800080"/>
      <w:sz w:val="24"/>
      <w:szCs w:val="24"/>
      <w:u w:val="single"/>
    </w:rPr>
  </w:style>
  <w:style w:type="character" w:customStyle="1" w:styleId="Corpodetexto2Char">
    <w:name w:val="Corpo de texto 2 Char"/>
    <w:basedOn w:val="Fontepargpadro"/>
    <w:link w:val="Corpodetexto2"/>
    <w:semiHidden/>
    <w:rsid w:val="00993009"/>
    <w:rPr>
      <w:rFonts w:ascii="Tahoma" w:eastAsia="Times New Roman" w:hAnsi="Tahoma" w:cs="Tahoma"/>
      <w:b/>
      <w:bCs/>
      <w:color w:val="80008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F6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C15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semiHidden/>
    <w:rsid w:val="003B2CBE"/>
    <w:rPr>
      <w:rFonts w:ascii="Tahoma" w:hAnsi="Tahoma"/>
      <w:b/>
      <w:position w:val="8"/>
      <w:sz w:val="18"/>
    </w:rPr>
  </w:style>
  <w:style w:type="paragraph" w:styleId="Textodenotaderodap">
    <w:name w:val="footnote text"/>
    <w:basedOn w:val="Normal"/>
    <w:link w:val="TextodenotaderodapChar"/>
    <w:semiHidden/>
    <w:rsid w:val="003B2CBE"/>
    <w:pPr>
      <w:keepLines/>
      <w:widowControl w:val="0"/>
      <w:suppressLineNumbers/>
      <w:suppressAutoHyphens/>
      <w:spacing w:after="0" w:line="360" w:lineRule="auto"/>
      <w:ind w:left="340" w:right="851" w:hanging="340"/>
      <w:jc w:val="both"/>
    </w:pPr>
    <w:rPr>
      <w:rFonts w:ascii="Tahoma" w:eastAsia="Times New Roman" w:hAnsi="Tahoma" w:cs="Tahoma"/>
      <w:sz w:val="18"/>
      <w:szCs w:val="20"/>
    </w:rPr>
  </w:style>
  <w:style w:type="character" w:customStyle="1" w:styleId="TextodenotaderodapChar">
    <w:name w:val="Texto de nota de rodapé Char"/>
    <w:basedOn w:val="Fontepargpadro"/>
    <w:link w:val="Textodenotaderodap"/>
    <w:semiHidden/>
    <w:rsid w:val="003B2CBE"/>
    <w:rPr>
      <w:rFonts w:ascii="Tahoma" w:eastAsia="Times New Roman" w:hAnsi="Tahoma" w:cs="Tahoma"/>
      <w:sz w:val="18"/>
      <w:szCs w:val="20"/>
    </w:rPr>
  </w:style>
  <w:style w:type="character" w:styleId="Forte">
    <w:name w:val="Strong"/>
    <w:basedOn w:val="Fontepargpadro"/>
    <w:uiPriority w:val="22"/>
    <w:qFormat/>
    <w:rsid w:val="00C672F5"/>
    <w:rPr>
      <w:b/>
      <w:bCs/>
    </w:rPr>
  </w:style>
  <w:style w:type="character" w:customStyle="1" w:styleId="glmot">
    <w:name w:val="gl_mot"/>
    <w:basedOn w:val="Fontepargpadro"/>
    <w:rsid w:val="00C672F5"/>
  </w:style>
  <w:style w:type="character" w:customStyle="1" w:styleId="hps">
    <w:name w:val="hps"/>
    <w:basedOn w:val="Fontepargpadro"/>
    <w:rsid w:val="008A372E"/>
  </w:style>
  <w:style w:type="character" w:customStyle="1" w:styleId="Ttulo1Char">
    <w:name w:val="Título 1 Char"/>
    <w:basedOn w:val="Fontepargpadro"/>
    <w:link w:val="Ttulo1"/>
    <w:uiPriority w:val="9"/>
    <w:rsid w:val="00AF6B3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AF6B3D"/>
    <w:rPr>
      <w:color w:val="0000FF"/>
      <w:u w:val="single"/>
    </w:rPr>
  </w:style>
  <w:style w:type="character" w:customStyle="1" w:styleId="familyname">
    <w:name w:val="familyname"/>
    <w:basedOn w:val="Fontepargpadro"/>
    <w:rsid w:val="001F6543"/>
  </w:style>
  <w:style w:type="character" w:styleId="nfase">
    <w:name w:val="Emphasis"/>
    <w:basedOn w:val="Fontepargpadro"/>
    <w:uiPriority w:val="20"/>
    <w:qFormat/>
    <w:rsid w:val="001F6543"/>
    <w:rPr>
      <w:i/>
      <w:iCs/>
    </w:rPr>
  </w:style>
  <w:style w:type="paragraph" w:styleId="Corpodetexto2">
    <w:name w:val="Body Text 2"/>
    <w:basedOn w:val="Normal"/>
    <w:link w:val="Corpodetexto2Char"/>
    <w:semiHidden/>
    <w:rsid w:val="00993009"/>
    <w:pPr>
      <w:spacing w:after="0" w:line="240" w:lineRule="auto"/>
      <w:jc w:val="both"/>
    </w:pPr>
    <w:rPr>
      <w:rFonts w:ascii="Tahoma" w:eastAsia="Times New Roman" w:hAnsi="Tahoma" w:cs="Tahoma"/>
      <w:b/>
      <w:bCs/>
      <w:color w:val="800080"/>
      <w:sz w:val="24"/>
      <w:szCs w:val="24"/>
      <w:u w:val="single"/>
    </w:rPr>
  </w:style>
  <w:style w:type="character" w:customStyle="1" w:styleId="Corpodetexto2Char">
    <w:name w:val="Corpo de texto 2 Char"/>
    <w:basedOn w:val="Fontepargpadro"/>
    <w:link w:val="Corpodetexto2"/>
    <w:semiHidden/>
    <w:rsid w:val="00993009"/>
    <w:rPr>
      <w:rFonts w:ascii="Tahoma" w:eastAsia="Times New Roman" w:hAnsi="Tahoma" w:cs="Tahoma"/>
      <w:b/>
      <w:bCs/>
      <w:color w:val="80008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6198">
      <w:bodyDiv w:val="1"/>
      <w:marLeft w:val="0"/>
      <w:marRight w:val="0"/>
      <w:marTop w:val="0"/>
      <w:marBottom w:val="0"/>
      <w:divBdr>
        <w:top w:val="none" w:sz="0" w:space="0" w:color="auto"/>
        <w:left w:val="none" w:sz="0" w:space="0" w:color="auto"/>
        <w:bottom w:val="none" w:sz="0" w:space="0" w:color="auto"/>
        <w:right w:val="none" w:sz="0" w:space="0" w:color="auto"/>
      </w:divBdr>
    </w:div>
    <w:div w:id="17932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e-publique.fr/actualite/dossier/elections-regionales-2010/competences-regions-apercu-avant-refor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1032</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extensao</dc:creator>
  <cp:lastModifiedBy>Sergio extensao</cp:lastModifiedBy>
  <cp:revision>8</cp:revision>
  <dcterms:created xsi:type="dcterms:W3CDTF">2015-10-19T11:06:00Z</dcterms:created>
  <dcterms:modified xsi:type="dcterms:W3CDTF">2015-10-19T12:34:00Z</dcterms:modified>
</cp:coreProperties>
</file>