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EF8" w:rsidRDefault="00A60EF8" w:rsidP="00B915EF">
      <w:pPr>
        <w:spacing w:line="360" w:lineRule="auto"/>
        <w:jc w:val="center"/>
        <w:rPr>
          <w:rFonts w:ascii="Times New Roman" w:eastAsia="Calibri" w:hAnsi="Times New Roman" w:cs="Times New Roman"/>
          <w:b/>
          <w:u w:val="single"/>
        </w:rPr>
      </w:pPr>
    </w:p>
    <w:p w:rsidR="00B915EF" w:rsidRPr="0057773F" w:rsidRDefault="00AC3796" w:rsidP="0057773F">
      <w:pPr>
        <w:shd w:val="clear" w:color="auto" w:fill="D9D9D9" w:themeFill="background1" w:themeFillShade="D9"/>
        <w:spacing w:line="360" w:lineRule="auto"/>
        <w:rPr>
          <w:rFonts w:ascii="Times New Roman" w:eastAsia="Calibri" w:hAnsi="Times New Roman" w:cs="Times New Roman"/>
          <w:b/>
        </w:rPr>
      </w:pPr>
      <w:r w:rsidRPr="00AC3796">
        <w:rPr>
          <w:rFonts w:ascii="Times New Roman" w:eastAsia="Calibri" w:hAnsi="Times New Roman" w:cs="Times New Roman"/>
          <w:b/>
        </w:rPr>
        <w:t>Effect of ‘Proximity to’ and ‘View of,’ Environmental Land Uses on Property Prices -- A Multidisciplinary Review</w:t>
      </w:r>
      <w:r>
        <w:rPr>
          <w:rFonts w:ascii="Times New Roman" w:eastAsia="Calibri" w:hAnsi="Times New Roman" w:cs="Times New Roman"/>
          <w:b/>
        </w:rPr>
        <w:t xml:space="preserve"> </w:t>
      </w:r>
      <w:bookmarkStart w:id="0" w:name="_GoBack"/>
      <w:bookmarkEnd w:id="0"/>
    </w:p>
    <w:p w:rsidR="0057773F" w:rsidRDefault="0057773F" w:rsidP="0057773F">
      <w:pPr>
        <w:spacing w:line="360" w:lineRule="auto"/>
        <w:rPr>
          <w:rFonts w:ascii="Times New Roman" w:eastAsia="Calibri" w:hAnsi="Times New Roman" w:cs="Times New Roman"/>
          <w:b/>
        </w:rPr>
      </w:pPr>
      <w:r>
        <w:rPr>
          <w:rFonts w:ascii="Times New Roman" w:eastAsia="Calibri" w:hAnsi="Times New Roman" w:cs="Times New Roman"/>
          <w:b/>
        </w:rPr>
        <w:t>Submitted to – The Fourth World Schools of Planning Congress, Rio de Genaro</w:t>
      </w:r>
    </w:p>
    <w:p w:rsidR="000B1EEB" w:rsidRDefault="000B1EEB" w:rsidP="000B1EEB">
      <w:pPr>
        <w:rPr>
          <w:rFonts w:ascii="Times New Roman" w:eastAsia="Calibri" w:hAnsi="Times New Roman" w:cs="Times New Roman"/>
        </w:rPr>
      </w:pPr>
      <w:r w:rsidRPr="00F96947">
        <w:rPr>
          <w:rFonts w:ascii="Times New Roman" w:eastAsia="Calibri" w:hAnsi="Times New Roman" w:cs="Times New Roman"/>
        </w:rPr>
        <w:t xml:space="preserve">Corresponding Author: Jay Mittal, PhD; MBA, </w:t>
      </w:r>
      <w:r>
        <w:rPr>
          <w:rFonts w:ascii="Times New Roman" w:eastAsia="Calibri" w:hAnsi="Times New Roman" w:cs="Times New Roman"/>
        </w:rPr>
        <w:t>Auburn University, Auburn, AL, USA</w:t>
      </w:r>
    </w:p>
    <w:p w:rsidR="000B1EEB" w:rsidRDefault="000B1EEB" w:rsidP="000B1EEB">
      <w:pPr>
        <w:rPr>
          <w:rFonts w:ascii="Times New Roman" w:eastAsia="Calibri" w:hAnsi="Times New Roman" w:cs="Times New Roman"/>
        </w:rPr>
      </w:pPr>
      <w:r>
        <w:rPr>
          <w:rFonts w:ascii="Times New Roman" w:eastAsia="Calibri" w:hAnsi="Times New Roman" w:cs="Times New Roman"/>
        </w:rPr>
        <w:t xml:space="preserve">Co-Author: </w:t>
      </w:r>
      <w:proofErr w:type="spellStart"/>
      <w:r w:rsidRPr="00F96947">
        <w:rPr>
          <w:rFonts w:ascii="Times New Roman" w:eastAsia="Calibri" w:hAnsi="Times New Roman" w:cs="Times New Roman"/>
        </w:rPr>
        <w:t>Sweta</w:t>
      </w:r>
      <w:proofErr w:type="spellEnd"/>
      <w:r w:rsidRPr="00F96947">
        <w:rPr>
          <w:rFonts w:ascii="Times New Roman" w:eastAsia="Calibri" w:hAnsi="Times New Roman" w:cs="Times New Roman"/>
        </w:rPr>
        <w:t xml:space="preserve"> </w:t>
      </w:r>
      <w:proofErr w:type="spellStart"/>
      <w:r w:rsidRPr="00F96947">
        <w:rPr>
          <w:rFonts w:ascii="Times New Roman" w:eastAsia="Calibri" w:hAnsi="Times New Roman" w:cs="Times New Roman"/>
        </w:rPr>
        <w:t>Byahut</w:t>
      </w:r>
      <w:proofErr w:type="spellEnd"/>
      <w:r w:rsidRPr="00F96947">
        <w:rPr>
          <w:rFonts w:ascii="Times New Roman" w:eastAsia="Calibri" w:hAnsi="Times New Roman" w:cs="Times New Roman"/>
        </w:rPr>
        <w:t>, PhD</w:t>
      </w:r>
      <w:r>
        <w:rPr>
          <w:rFonts w:ascii="Times New Roman" w:eastAsia="Calibri" w:hAnsi="Times New Roman" w:cs="Times New Roman"/>
        </w:rPr>
        <w:t>, Auburn University, Auburn, AL, USA</w:t>
      </w:r>
    </w:p>
    <w:p w:rsidR="0057773F" w:rsidRDefault="0057773F" w:rsidP="0057773F">
      <w:pPr>
        <w:pBdr>
          <w:top w:val="single" w:sz="4" w:space="1" w:color="auto"/>
        </w:pBdr>
        <w:spacing w:line="360" w:lineRule="auto"/>
        <w:rPr>
          <w:rFonts w:ascii="Times New Roman" w:eastAsia="Calibri" w:hAnsi="Times New Roman" w:cs="Times New Roman"/>
          <w:b/>
        </w:rPr>
      </w:pPr>
    </w:p>
    <w:p w:rsidR="0036764A" w:rsidRDefault="0006024C" w:rsidP="0006024C">
      <w:pPr>
        <w:spacing w:line="360" w:lineRule="auto"/>
        <w:rPr>
          <w:rFonts w:ascii="Times New Roman" w:eastAsia="Calibri" w:hAnsi="Times New Roman" w:cs="Times New Roman"/>
          <w:b/>
        </w:rPr>
      </w:pPr>
      <w:r w:rsidRPr="00687C78">
        <w:rPr>
          <w:rFonts w:ascii="Times New Roman" w:eastAsia="Calibri" w:hAnsi="Times New Roman" w:cs="Times New Roman"/>
          <w:b/>
        </w:rPr>
        <w:t xml:space="preserve">Abstract: </w:t>
      </w:r>
    </w:p>
    <w:p w:rsidR="00311668" w:rsidRDefault="0006024C" w:rsidP="0006024C">
      <w:pPr>
        <w:spacing w:line="360" w:lineRule="auto"/>
        <w:rPr>
          <w:rFonts w:ascii="Times New Roman" w:eastAsia="Calibri" w:hAnsi="Times New Roman" w:cs="Times New Roman"/>
        </w:rPr>
      </w:pPr>
      <w:r w:rsidRPr="00687C78">
        <w:rPr>
          <w:rFonts w:ascii="Times New Roman" w:eastAsia="Calibri" w:hAnsi="Times New Roman" w:cs="Times New Roman"/>
        </w:rPr>
        <w:t>This</w:t>
      </w:r>
      <w:r>
        <w:rPr>
          <w:rFonts w:ascii="Times New Roman" w:eastAsia="Calibri" w:hAnsi="Times New Roman" w:cs="Times New Roman"/>
        </w:rPr>
        <w:t xml:space="preserve"> </w:t>
      </w:r>
      <w:r w:rsidR="00B81BF9">
        <w:rPr>
          <w:rFonts w:ascii="Times New Roman" w:eastAsia="Calibri" w:hAnsi="Times New Roman" w:cs="Times New Roman"/>
        </w:rPr>
        <w:t xml:space="preserve">paper </w:t>
      </w:r>
      <w:r>
        <w:rPr>
          <w:rFonts w:ascii="Times New Roman" w:eastAsia="Calibri" w:hAnsi="Times New Roman" w:cs="Times New Roman"/>
        </w:rPr>
        <w:t>provides a cross-</w:t>
      </w:r>
      <w:r w:rsidRPr="00687C78">
        <w:rPr>
          <w:rFonts w:ascii="Times New Roman" w:eastAsia="Calibri" w:hAnsi="Times New Roman" w:cs="Times New Roman"/>
        </w:rPr>
        <w:t xml:space="preserve">disciplinary literature review of ‘proximity to’ and ‘view of’ </w:t>
      </w:r>
      <w:r>
        <w:rPr>
          <w:rFonts w:ascii="Times New Roman" w:eastAsia="Calibri" w:hAnsi="Times New Roman" w:cs="Times New Roman"/>
        </w:rPr>
        <w:t xml:space="preserve">eight different environmental </w:t>
      </w:r>
      <w:r w:rsidRPr="00687C78">
        <w:rPr>
          <w:rFonts w:ascii="Times New Roman" w:eastAsia="Calibri" w:hAnsi="Times New Roman" w:cs="Times New Roman"/>
        </w:rPr>
        <w:t>amenit</w:t>
      </w:r>
      <w:r>
        <w:rPr>
          <w:rFonts w:ascii="Times New Roman" w:eastAsia="Calibri" w:hAnsi="Times New Roman" w:cs="Times New Roman"/>
        </w:rPr>
        <w:t>y</w:t>
      </w:r>
      <w:r w:rsidRPr="00687C78">
        <w:rPr>
          <w:rFonts w:ascii="Times New Roman" w:eastAsia="Calibri" w:hAnsi="Times New Roman" w:cs="Times New Roman"/>
        </w:rPr>
        <w:t xml:space="preserve"> </w:t>
      </w:r>
      <w:r>
        <w:rPr>
          <w:rFonts w:ascii="Times New Roman" w:eastAsia="Calibri" w:hAnsi="Times New Roman" w:cs="Times New Roman"/>
        </w:rPr>
        <w:t xml:space="preserve">types </w:t>
      </w:r>
      <w:r w:rsidRPr="00687C78">
        <w:rPr>
          <w:rFonts w:ascii="Times New Roman" w:eastAsia="Calibri" w:hAnsi="Times New Roman" w:cs="Times New Roman"/>
        </w:rPr>
        <w:t xml:space="preserve">on </w:t>
      </w:r>
      <w:r>
        <w:rPr>
          <w:rFonts w:ascii="Times New Roman" w:eastAsia="Calibri" w:hAnsi="Times New Roman" w:cs="Times New Roman"/>
        </w:rPr>
        <w:t xml:space="preserve">neighboring real </w:t>
      </w:r>
      <w:r w:rsidRPr="00687C78">
        <w:rPr>
          <w:rFonts w:ascii="Times New Roman" w:eastAsia="Calibri" w:hAnsi="Times New Roman" w:cs="Times New Roman"/>
        </w:rPr>
        <w:t>property prices. The objectives of this</w:t>
      </w:r>
      <w:r w:rsidR="00B81BF9">
        <w:rPr>
          <w:rFonts w:ascii="Times New Roman" w:eastAsia="Calibri" w:hAnsi="Times New Roman" w:cs="Times New Roman"/>
        </w:rPr>
        <w:t xml:space="preserve"> paper</w:t>
      </w:r>
      <w:r w:rsidRPr="00687C78">
        <w:rPr>
          <w:rFonts w:ascii="Times New Roman" w:eastAsia="Calibri" w:hAnsi="Times New Roman" w:cs="Times New Roman"/>
        </w:rPr>
        <w:t xml:space="preserve"> are manifolds: first, it provides a comprehensive review of </w:t>
      </w:r>
      <w:r>
        <w:rPr>
          <w:rFonts w:ascii="Times New Roman" w:eastAsia="Calibri" w:hAnsi="Times New Roman" w:cs="Times New Roman"/>
        </w:rPr>
        <w:t xml:space="preserve">over 100 hedonic studies from </w:t>
      </w:r>
      <w:r w:rsidRPr="00687C78">
        <w:rPr>
          <w:rFonts w:ascii="Times New Roman" w:eastAsia="Calibri" w:hAnsi="Times New Roman" w:cs="Times New Roman"/>
        </w:rPr>
        <w:t xml:space="preserve">five disciplines to understand </w:t>
      </w:r>
      <w:r>
        <w:rPr>
          <w:rFonts w:ascii="Times New Roman" w:eastAsia="Calibri" w:hAnsi="Times New Roman" w:cs="Times New Roman"/>
        </w:rPr>
        <w:t xml:space="preserve">variations in the marginal implicit price paid for homes near environmental amenities and how it </w:t>
      </w:r>
      <w:r w:rsidRPr="00687C78">
        <w:rPr>
          <w:rFonts w:ascii="Times New Roman" w:eastAsia="Calibri" w:hAnsi="Times New Roman" w:cs="Times New Roman"/>
        </w:rPr>
        <w:t xml:space="preserve">differs from one amenity type to another? Second, this </w:t>
      </w:r>
      <w:r w:rsidR="008A5A98">
        <w:rPr>
          <w:rFonts w:ascii="Times New Roman" w:eastAsia="Calibri" w:hAnsi="Times New Roman" w:cs="Times New Roman"/>
        </w:rPr>
        <w:t xml:space="preserve">paper also </w:t>
      </w:r>
      <w:r>
        <w:rPr>
          <w:rFonts w:ascii="Times New Roman" w:eastAsia="Calibri" w:hAnsi="Times New Roman" w:cs="Times New Roman"/>
        </w:rPr>
        <w:t xml:space="preserve">identifies </w:t>
      </w:r>
      <w:r w:rsidRPr="00687C78">
        <w:rPr>
          <w:rFonts w:ascii="Times New Roman" w:eastAsia="Calibri" w:hAnsi="Times New Roman" w:cs="Times New Roman"/>
        </w:rPr>
        <w:t xml:space="preserve">two most commonly used value capturing </w:t>
      </w:r>
      <w:r>
        <w:rPr>
          <w:rFonts w:ascii="Times New Roman" w:eastAsia="Calibri" w:hAnsi="Times New Roman" w:cs="Times New Roman"/>
        </w:rPr>
        <w:t xml:space="preserve">measurement </w:t>
      </w:r>
      <w:r w:rsidRPr="00687C78">
        <w:rPr>
          <w:rFonts w:ascii="Times New Roman" w:eastAsia="Calibri" w:hAnsi="Times New Roman" w:cs="Times New Roman"/>
        </w:rPr>
        <w:t xml:space="preserve">variables, </w:t>
      </w:r>
      <w:r w:rsidRPr="00687C78">
        <w:rPr>
          <w:rFonts w:ascii="Times New Roman" w:eastAsia="Calibri" w:hAnsi="Times New Roman" w:cs="Times New Roman"/>
          <w:i/>
        </w:rPr>
        <w:t>‘proximity to,’</w:t>
      </w:r>
      <w:r w:rsidRPr="00687C78">
        <w:rPr>
          <w:rFonts w:ascii="Times New Roman" w:eastAsia="Calibri" w:hAnsi="Times New Roman" w:cs="Times New Roman"/>
        </w:rPr>
        <w:t xml:space="preserve"> and </w:t>
      </w:r>
      <w:r w:rsidRPr="00687C78">
        <w:rPr>
          <w:rFonts w:ascii="Times New Roman" w:eastAsia="Calibri" w:hAnsi="Times New Roman" w:cs="Times New Roman"/>
          <w:i/>
        </w:rPr>
        <w:t>‘view of,’</w:t>
      </w:r>
      <w:r w:rsidRPr="002A6742">
        <w:rPr>
          <w:rFonts w:ascii="Times New Roman" w:eastAsia="Calibri" w:hAnsi="Times New Roman" w:cs="Times New Roman"/>
        </w:rPr>
        <w:t xml:space="preserve"> </w:t>
      </w:r>
      <w:r>
        <w:rPr>
          <w:rFonts w:ascii="Times New Roman" w:eastAsia="Calibri" w:hAnsi="Times New Roman" w:cs="Times New Roman"/>
        </w:rPr>
        <w:t>amenities including their variants</w:t>
      </w:r>
      <w:r w:rsidRPr="00687C78">
        <w:rPr>
          <w:rFonts w:ascii="Times New Roman" w:eastAsia="Calibri" w:hAnsi="Times New Roman" w:cs="Times New Roman"/>
        </w:rPr>
        <w:t xml:space="preserve"> as used in </w:t>
      </w:r>
      <w:r>
        <w:rPr>
          <w:rFonts w:ascii="Times New Roman" w:eastAsia="Calibri" w:hAnsi="Times New Roman" w:cs="Times New Roman"/>
        </w:rPr>
        <w:t>the past</w:t>
      </w:r>
      <w:r w:rsidRPr="00687C78">
        <w:rPr>
          <w:rFonts w:ascii="Times New Roman" w:eastAsia="Calibri" w:hAnsi="Times New Roman" w:cs="Times New Roman"/>
        </w:rPr>
        <w:t xml:space="preserve"> hedonic studies</w:t>
      </w:r>
      <w:r w:rsidR="00C62DA2">
        <w:rPr>
          <w:rFonts w:ascii="Times New Roman" w:eastAsia="Calibri" w:hAnsi="Times New Roman" w:cs="Times New Roman"/>
        </w:rPr>
        <w:t xml:space="preserve"> </w:t>
      </w:r>
      <w:r w:rsidR="00C62DA2" w:rsidRPr="00C62DA2">
        <w:rPr>
          <w:rFonts w:ascii="Times New Roman" w:eastAsia="Calibri" w:hAnsi="Times New Roman" w:cs="Times New Roman"/>
          <w:color w:val="0070C0"/>
        </w:rPr>
        <w:t>(Mittal 2014)</w:t>
      </w:r>
      <w:r w:rsidRPr="00687C78">
        <w:rPr>
          <w:rFonts w:ascii="Times New Roman" w:eastAsia="Calibri" w:hAnsi="Times New Roman" w:cs="Times New Roman"/>
        </w:rPr>
        <w:t xml:space="preserve">. </w:t>
      </w:r>
      <w:r>
        <w:rPr>
          <w:rFonts w:ascii="Times New Roman" w:eastAsia="Calibri" w:hAnsi="Times New Roman" w:cs="Times New Roman"/>
        </w:rPr>
        <w:t>The appropriateness of variants used varies by the amenity type and its characteristics. T</w:t>
      </w:r>
      <w:r w:rsidRPr="00687C78">
        <w:rPr>
          <w:rFonts w:ascii="Times New Roman" w:eastAsia="Calibri" w:hAnsi="Times New Roman" w:cs="Times New Roman"/>
        </w:rPr>
        <w:t xml:space="preserve">his </w:t>
      </w:r>
      <w:r w:rsidR="00C62DA2">
        <w:rPr>
          <w:rFonts w:ascii="Times New Roman" w:eastAsia="Calibri" w:hAnsi="Times New Roman" w:cs="Times New Roman"/>
        </w:rPr>
        <w:t xml:space="preserve">paper </w:t>
      </w:r>
      <w:r>
        <w:rPr>
          <w:rFonts w:ascii="Times New Roman" w:eastAsia="Calibri" w:hAnsi="Times New Roman" w:cs="Times New Roman"/>
        </w:rPr>
        <w:t xml:space="preserve">also </w:t>
      </w:r>
      <w:r w:rsidRPr="00687C78">
        <w:rPr>
          <w:rFonts w:ascii="Times New Roman" w:eastAsia="Calibri" w:hAnsi="Times New Roman" w:cs="Times New Roman"/>
        </w:rPr>
        <w:t>present</w:t>
      </w:r>
      <w:r>
        <w:rPr>
          <w:rFonts w:ascii="Times New Roman" w:eastAsia="Calibri" w:hAnsi="Times New Roman" w:cs="Times New Roman"/>
        </w:rPr>
        <w:t>s</w:t>
      </w:r>
      <w:r w:rsidRPr="00687C78">
        <w:rPr>
          <w:rFonts w:ascii="Times New Roman" w:eastAsia="Calibri" w:hAnsi="Times New Roman" w:cs="Times New Roman"/>
        </w:rPr>
        <w:t xml:space="preserve"> analysis of characteristics similarities and differences amongst these </w:t>
      </w:r>
      <w:r>
        <w:rPr>
          <w:rFonts w:ascii="Times New Roman" w:eastAsia="Calibri" w:hAnsi="Times New Roman" w:cs="Times New Roman"/>
        </w:rPr>
        <w:t xml:space="preserve">eight </w:t>
      </w:r>
      <w:r w:rsidRPr="00687C78">
        <w:rPr>
          <w:rFonts w:ascii="Times New Roman" w:eastAsia="Calibri" w:hAnsi="Times New Roman" w:cs="Times New Roman"/>
        </w:rPr>
        <w:t>amenit</w:t>
      </w:r>
      <w:r>
        <w:rPr>
          <w:rFonts w:ascii="Times New Roman" w:eastAsia="Calibri" w:hAnsi="Times New Roman" w:cs="Times New Roman"/>
        </w:rPr>
        <w:t>y types</w:t>
      </w:r>
      <w:r w:rsidRPr="00687C78">
        <w:rPr>
          <w:rFonts w:ascii="Times New Roman" w:eastAsia="Calibri" w:hAnsi="Times New Roman" w:cs="Times New Roman"/>
        </w:rPr>
        <w:t xml:space="preserve"> explaining ‘why’ and ‘how much’ does the effect on property price varies</w:t>
      </w:r>
      <w:r>
        <w:rPr>
          <w:rFonts w:ascii="Times New Roman" w:eastAsia="Calibri" w:hAnsi="Times New Roman" w:cs="Times New Roman"/>
        </w:rPr>
        <w:t xml:space="preserve"> across amenities and which variant of the two variables is most suited</w:t>
      </w:r>
      <w:r w:rsidRPr="00687C78">
        <w:rPr>
          <w:rFonts w:ascii="Times New Roman" w:eastAsia="Calibri" w:hAnsi="Times New Roman" w:cs="Times New Roman"/>
        </w:rPr>
        <w:t xml:space="preserve">. </w:t>
      </w:r>
      <w:r>
        <w:rPr>
          <w:rFonts w:ascii="Times New Roman" w:eastAsia="Calibri" w:hAnsi="Times New Roman" w:cs="Times New Roman"/>
        </w:rPr>
        <w:t xml:space="preserve"> This is the first attempt to compile a comprehensive review of literature from five disciplines across eight amenity types and provides a useful base for scholars interested in the topic. This review </w:t>
      </w:r>
      <w:r w:rsidRPr="00687C78">
        <w:rPr>
          <w:rFonts w:ascii="Times New Roman" w:eastAsia="Calibri" w:hAnsi="Times New Roman" w:cs="Times New Roman"/>
        </w:rPr>
        <w:t xml:space="preserve">provides a useful insight to </w:t>
      </w:r>
      <w:r>
        <w:rPr>
          <w:rFonts w:ascii="Times New Roman" w:eastAsia="Calibri" w:hAnsi="Times New Roman" w:cs="Times New Roman"/>
        </w:rPr>
        <w:t xml:space="preserve">urban </w:t>
      </w:r>
      <w:r w:rsidRPr="00687C78">
        <w:rPr>
          <w:rFonts w:ascii="Times New Roman" w:eastAsia="Calibri" w:hAnsi="Times New Roman" w:cs="Times New Roman"/>
        </w:rPr>
        <w:t>planners, real estate professionals and appraisers</w:t>
      </w:r>
      <w:r>
        <w:rPr>
          <w:rFonts w:ascii="Times New Roman" w:eastAsia="Calibri" w:hAnsi="Times New Roman" w:cs="Times New Roman"/>
        </w:rPr>
        <w:t xml:space="preserve"> in understanding a range and variation in the marginal implicit price paid across environmental amenities</w:t>
      </w:r>
      <w:r w:rsidRPr="00687C78">
        <w:rPr>
          <w:rFonts w:ascii="Times New Roman" w:eastAsia="Calibri" w:hAnsi="Times New Roman" w:cs="Times New Roman"/>
        </w:rPr>
        <w:t>.</w:t>
      </w:r>
    </w:p>
    <w:p w:rsidR="00BA12C0" w:rsidRDefault="00BA12C0" w:rsidP="00BA12C0">
      <w:pPr>
        <w:spacing w:line="360" w:lineRule="auto"/>
        <w:rPr>
          <w:rFonts w:ascii="Times New Roman" w:hAnsi="Times New Roman" w:cs="Times New Roman"/>
        </w:rPr>
      </w:pPr>
      <w:r>
        <w:rPr>
          <w:rFonts w:ascii="Times New Roman" w:hAnsi="Times New Roman" w:cs="Times New Roman"/>
        </w:rPr>
        <w:t>The li</w:t>
      </w:r>
      <w:r w:rsidRPr="00FB73FA">
        <w:rPr>
          <w:rFonts w:ascii="Times New Roman" w:hAnsi="Times New Roman" w:cs="Times New Roman"/>
        </w:rPr>
        <w:t xml:space="preserve">terature </w:t>
      </w:r>
      <w:r>
        <w:rPr>
          <w:rFonts w:ascii="Times New Roman" w:hAnsi="Times New Roman" w:cs="Times New Roman"/>
        </w:rPr>
        <w:t xml:space="preserve">in this area </w:t>
      </w:r>
      <w:r w:rsidRPr="00FB73FA">
        <w:rPr>
          <w:rFonts w:ascii="Times New Roman" w:hAnsi="Times New Roman" w:cs="Times New Roman"/>
        </w:rPr>
        <w:t xml:space="preserve">is </w:t>
      </w:r>
      <w:r>
        <w:rPr>
          <w:rFonts w:ascii="Times New Roman" w:hAnsi="Times New Roman" w:cs="Times New Roman"/>
        </w:rPr>
        <w:t xml:space="preserve">quite </w:t>
      </w:r>
      <w:r w:rsidRPr="00FB73FA">
        <w:rPr>
          <w:rFonts w:ascii="Times New Roman" w:hAnsi="Times New Roman" w:cs="Times New Roman"/>
        </w:rPr>
        <w:t>extensive</w:t>
      </w:r>
      <w:r w:rsidRPr="007A390F">
        <w:rPr>
          <w:rFonts w:ascii="Times New Roman" w:hAnsi="Times New Roman" w:cs="Times New Roman"/>
        </w:rPr>
        <w:t xml:space="preserve"> and many scholars have also conducted reviews </w:t>
      </w:r>
      <w:r>
        <w:rPr>
          <w:rFonts w:ascii="Times New Roman" w:hAnsi="Times New Roman" w:cs="Times New Roman"/>
        </w:rPr>
        <w:t>and meta-analysis</w:t>
      </w:r>
      <w:r w:rsidR="00403E77">
        <w:rPr>
          <w:rFonts w:ascii="Times New Roman" w:hAnsi="Times New Roman" w:cs="Times New Roman"/>
        </w:rPr>
        <w:t>, however with little consensus</w:t>
      </w:r>
      <w:r>
        <w:rPr>
          <w:rFonts w:ascii="Times New Roman" w:hAnsi="Times New Roman" w:cs="Times New Roman"/>
        </w:rPr>
        <w:t xml:space="preserve">. </w:t>
      </w:r>
      <w:r w:rsidR="00403E77">
        <w:rPr>
          <w:rFonts w:ascii="Times New Roman" w:hAnsi="Times New Roman" w:cs="Times New Roman"/>
        </w:rPr>
        <w:t xml:space="preserve">Some of the notable studies </w:t>
      </w:r>
      <w:r>
        <w:rPr>
          <w:rFonts w:ascii="Times New Roman" w:hAnsi="Times New Roman" w:cs="Times New Roman"/>
        </w:rPr>
        <w:t xml:space="preserve">include </w:t>
      </w:r>
      <w:r w:rsidRPr="002A1E45">
        <w:rPr>
          <w:rFonts w:ascii="Times New Roman" w:hAnsi="Times New Roman" w:cs="Times New Roman"/>
          <w:color w:val="0070C0"/>
        </w:rPr>
        <w:t>(</w:t>
      </w:r>
      <w:r>
        <w:rPr>
          <w:rFonts w:ascii="Times New Roman" w:hAnsi="Times New Roman" w:cs="Times New Roman"/>
          <w:color w:val="0070C0"/>
        </w:rPr>
        <w:t xml:space="preserve">Brander and </w:t>
      </w:r>
      <w:proofErr w:type="spellStart"/>
      <w:r>
        <w:rPr>
          <w:rFonts w:ascii="Times New Roman" w:hAnsi="Times New Roman" w:cs="Times New Roman"/>
          <w:color w:val="0070C0"/>
        </w:rPr>
        <w:t>Koetse</w:t>
      </w:r>
      <w:proofErr w:type="spellEnd"/>
      <w:r>
        <w:rPr>
          <w:rFonts w:ascii="Times New Roman" w:hAnsi="Times New Roman" w:cs="Times New Roman"/>
          <w:color w:val="0070C0"/>
        </w:rPr>
        <w:t xml:space="preserve"> 2011; Simons and </w:t>
      </w:r>
      <w:proofErr w:type="spellStart"/>
      <w:r>
        <w:rPr>
          <w:rFonts w:ascii="Times New Roman" w:hAnsi="Times New Roman" w:cs="Times New Roman"/>
          <w:color w:val="0070C0"/>
        </w:rPr>
        <w:t>Saginor</w:t>
      </w:r>
      <w:proofErr w:type="spellEnd"/>
      <w:r>
        <w:rPr>
          <w:rFonts w:ascii="Times New Roman" w:hAnsi="Times New Roman" w:cs="Times New Roman"/>
          <w:color w:val="0070C0"/>
        </w:rPr>
        <w:t xml:space="preserve"> 2006; </w:t>
      </w:r>
      <w:r w:rsidRPr="002A1E45">
        <w:rPr>
          <w:rFonts w:ascii="Times New Roman" w:hAnsi="Times New Roman" w:cs="Times New Roman"/>
          <w:color w:val="0070C0"/>
        </w:rPr>
        <w:t>McCo</w:t>
      </w:r>
      <w:r>
        <w:rPr>
          <w:rFonts w:ascii="Times New Roman" w:hAnsi="Times New Roman" w:cs="Times New Roman"/>
          <w:color w:val="0070C0"/>
        </w:rPr>
        <w:t>n</w:t>
      </w:r>
      <w:r w:rsidRPr="002A1E45">
        <w:rPr>
          <w:rFonts w:ascii="Times New Roman" w:hAnsi="Times New Roman" w:cs="Times New Roman"/>
          <w:color w:val="0070C0"/>
        </w:rPr>
        <w:t>nell and Walls 2005; Crompton 2005; 2001;</w:t>
      </w:r>
      <w:r>
        <w:rPr>
          <w:rFonts w:ascii="Times New Roman" w:hAnsi="Times New Roman" w:cs="Times New Roman"/>
          <w:color w:val="0070C0"/>
        </w:rPr>
        <w:t xml:space="preserve"> </w:t>
      </w:r>
      <w:r w:rsidRPr="002A1E45">
        <w:rPr>
          <w:rFonts w:ascii="Times New Roman" w:hAnsi="Times New Roman" w:cs="Times New Roman"/>
          <w:color w:val="0070C0"/>
        </w:rPr>
        <w:t>Bourassa et al. 2004</w:t>
      </w:r>
      <w:r>
        <w:rPr>
          <w:rFonts w:ascii="Times New Roman" w:hAnsi="Times New Roman" w:cs="Times New Roman"/>
          <w:color w:val="0070C0"/>
        </w:rPr>
        <w:t xml:space="preserve">; Boyle and Kiel 2001; </w:t>
      </w:r>
      <w:proofErr w:type="spellStart"/>
      <w:r w:rsidRPr="006D26E2">
        <w:rPr>
          <w:rFonts w:ascii="Times New Roman" w:hAnsi="Times New Roman" w:cs="Times New Roman"/>
          <w:color w:val="0070C0"/>
        </w:rPr>
        <w:t>Fausold</w:t>
      </w:r>
      <w:proofErr w:type="spellEnd"/>
      <w:r w:rsidRPr="006D26E2">
        <w:rPr>
          <w:rFonts w:ascii="Times New Roman" w:hAnsi="Times New Roman" w:cs="Times New Roman"/>
          <w:color w:val="0070C0"/>
        </w:rPr>
        <w:t xml:space="preserve"> and </w:t>
      </w:r>
      <w:proofErr w:type="spellStart"/>
      <w:r w:rsidRPr="006D26E2">
        <w:rPr>
          <w:rFonts w:ascii="Times New Roman" w:hAnsi="Times New Roman" w:cs="Times New Roman"/>
          <w:color w:val="0070C0"/>
        </w:rPr>
        <w:t>Lilieholm</w:t>
      </w:r>
      <w:proofErr w:type="spellEnd"/>
      <w:r w:rsidRPr="006D26E2">
        <w:rPr>
          <w:rFonts w:ascii="Times New Roman" w:hAnsi="Times New Roman" w:cs="Times New Roman"/>
          <w:color w:val="0070C0"/>
        </w:rPr>
        <w:t xml:space="preserve"> 1999</w:t>
      </w:r>
      <w:r>
        <w:rPr>
          <w:rFonts w:ascii="Times New Roman" w:hAnsi="Times New Roman" w:cs="Times New Roman"/>
          <w:color w:val="0070C0"/>
        </w:rPr>
        <w:t>; Freeman III 1979</w:t>
      </w:r>
      <w:r w:rsidRPr="002A1E45">
        <w:rPr>
          <w:rFonts w:ascii="Times New Roman" w:hAnsi="Times New Roman" w:cs="Times New Roman"/>
          <w:color w:val="0070C0"/>
        </w:rPr>
        <w:t>)</w:t>
      </w:r>
      <w:r w:rsidR="00403E77">
        <w:rPr>
          <w:rFonts w:ascii="Times New Roman" w:hAnsi="Times New Roman" w:cs="Times New Roman"/>
          <w:color w:val="0070C0"/>
        </w:rPr>
        <w:t>. H</w:t>
      </w:r>
      <w:r>
        <w:rPr>
          <w:rFonts w:ascii="Times New Roman" w:hAnsi="Times New Roman" w:cs="Times New Roman"/>
        </w:rPr>
        <w:t xml:space="preserve">owever, when it comes to determining a reliable range of marginal price effect of </w:t>
      </w:r>
      <w:r w:rsidR="00403E77">
        <w:rPr>
          <w:rFonts w:ascii="Times New Roman" w:hAnsi="Times New Roman" w:cs="Times New Roman"/>
        </w:rPr>
        <w:t xml:space="preserve">environmental </w:t>
      </w:r>
      <w:r>
        <w:rPr>
          <w:rFonts w:ascii="Times New Roman" w:hAnsi="Times New Roman" w:cs="Times New Roman"/>
        </w:rPr>
        <w:t>amenities on the neighboring property values, there is a lack of consensus amongst these scholars.</w:t>
      </w:r>
      <w:r w:rsidRPr="00FB73FA">
        <w:rPr>
          <w:rFonts w:ascii="Times New Roman" w:hAnsi="Times New Roman" w:cs="Times New Roman"/>
        </w:rPr>
        <w:t xml:space="preserve"> </w:t>
      </w:r>
      <w:r>
        <w:rPr>
          <w:rFonts w:ascii="Times New Roman" w:hAnsi="Times New Roman" w:cs="Times New Roman"/>
        </w:rPr>
        <w:t xml:space="preserve"> The reasons for these variations are </w:t>
      </w:r>
      <w:r w:rsidR="00403E77">
        <w:rPr>
          <w:rFonts w:ascii="Times New Roman" w:hAnsi="Times New Roman" w:cs="Times New Roman"/>
        </w:rPr>
        <w:t xml:space="preserve">many: this is </w:t>
      </w:r>
      <w:r>
        <w:rPr>
          <w:rFonts w:ascii="Times New Roman" w:hAnsi="Times New Roman" w:cs="Times New Roman"/>
        </w:rPr>
        <w:t xml:space="preserve">due variation and diversity in amenity types studied, local real estate markets studied, types and forms of measurement variables used, and diverse methodologies and models used. In this review, </w:t>
      </w:r>
      <w:r w:rsidRPr="00B830F0">
        <w:rPr>
          <w:rFonts w:ascii="Times New Roman" w:hAnsi="Times New Roman" w:cs="Times New Roman"/>
        </w:rPr>
        <w:t xml:space="preserve">the environmental amenities have been grouped into </w:t>
      </w:r>
      <w:r>
        <w:rPr>
          <w:rFonts w:ascii="Times New Roman" w:hAnsi="Times New Roman" w:cs="Times New Roman"/>
        </w:rPr>
        <w:t xml:space="preserve">two broad </w:t>
      </w:r>
      <w:r w:rsidRPr="00B830F0">
        <w:rPr>
          <w:rFonts w:ascii="Times New Roman" w:hAnsi="Times New Roman" w:cs="Times New Roman"/>
        </w:rPr>
        <w:t>categories</w:t>
      </w:r>
      <w:r>
        <w:rPr>
          <w:rFonts w:ascii="Times New Roman" w:hAnsi="Times New Roman" w:cs="Times New Roman"/>
        </w:rPr>
        <w:t xml:space="preserve"> – ‘recognizable amenities’ and </w:t>
      </w:r>
      <w:r>
        <w:rPr>
          <w:rFonts w:ascii="Times New Roman" w:hAnsi="Times New Roman" w:cs="Times New Roman"/>
        </w:rPr>
        <w:lastRenderedPageBreak/>
        <w:t>‘less recognizable amenities.’ The former includes golf courses, w</w:t>
      </w:r>
      <w:r w:rsidRPr="00EB5620">
        <w:rPr>
          <w:rFonts w:ascii="Times New Roman" w:hAnsi="Times New Roman" w:cs="Times New Roman"/>
        </w:rPr>
        <w:t>ater</w:t>
      </w:r>
      <w:r>
        <w:rPr>
          <w:rFonts w:ascii="Times New Roman" w:hAnsi="Times New Roman" w:cs="Times New Roman"/>
        </w:rPr>
        <w:t>f</w:t>
      </w:r>
      <w:r w:rsidRPr="00EB5620">
        <w:rPr>
          <w:rFonts w:ascii="Times New Roman" w:hAnsi="Times New Roman" w:cs="Times New Roman"/>
        </w:rPr>
        <w:t>ronts</w:t>
      </w:r>
      <w:r>
        <w:rPr>
          <w:rFonts w:ascii="Times New Roman" w:hAnsi="Times New Roman" w:cs="Times New Roman"/>
        </w:rPr>
        <w:t xml:space="preserve"> (ocean, lakes, and rivers), g</w:t>
      </w:r>
      <w:r w:rsidRPr="00EB5620">
        <w:rPr>
          <w:rFonts w:ascii="Times New Roman" w:hAnsi="Times New Roman" w:cs="Times New Roman"/>
        </w:rPr>
        <w:t>reenways</w:t>
      </w:r>
      <w:r>
        <w:rPr>
          <w:rFonts w:ascii="Times New Roman" w:hAnsi="Times New Roman" w:cs="Times New Roman"/>
        </w:rPr>
        <w:t xml:space="preserve"> and large parks while the latter includes miscellaneous o</w:t>
      </w:r>
      <w:r w:rsidRPr="00EB5620">
        <w:rPr>
          <w:rFonts w:ascii="Times New Roman" w:hAnsi="Times New Roman" w:cs="Times New Roman"/>
        </w:rPr>
        <w:t xml:space="preserve">pen </w:t>
      </w:r>
      <w:r>
        <w:rPr>
          <w:rFonts w:ascii="Times New Roman" w:hAnsi="Times New Roman" w:cs="Times New Roman"/>
        </w:rPr>
        <w:t>s</w:t>
      </w:r>
      <w:r w:rsidRPr="00EB5620">
        <w:rPr>
          <w:rFonts w:ascii="Times New Roman" w:hAnsi="Times New Roman" w:cs="Times New Roman"/>
        </w:rPr>
        <w:t>paces</w:t>
      </w:r>
      <w:r>
        <w:rPr>
          <w:rFonts w:ascii="Times New Roman" w:hAnsi="Times New Roman" w:cs="Times New Roman"/>
        </w:rPr>
        <w:t xml:space="preserve"> around homes as explained later in this review.</w:t>
      </w:r>
      <w:r w:rsidR="00403E77">
        <w:rPr>
          <w:rFonts w:ascii="Times New Roman" w:hAnsi="Times New Roman" w:cs="Times New Roman"/>
        </w:rPr>
        <w:t xml:space="preserve"> Two key variable have been used to measure this effect: Proximity and View.</w:t>
      </w:r>
    </w:p>
    <w:p w:rsidR="00BA12C0" w:rsidRDefault="00BA12C0" w:rsidP="00BA12C0">
      <w:pPr>
        <w:spacing w:line="360" w:lineRule="auto"/>
        <w:rPr>
          <w:rFonts w:ascii="Times New Roman" w:eastAsia="Calibri" w:hAnsi="Times New Roman" w:cs="Times New Roman"/>
        </w:rPr>
      </w:pPr>
      <w:r w:rsidRPr="00B23980">
        <w:rPr>
          <w:rFonts w:ascii="Times New Roman" w:eastAsia="Calibri" w:hAnsi="Times New Roman" w:cs="Times New Roman"/>
        </w:rPr>
        <w:t xml:space="preserve">“Proximity to” environmental amenity offers </w:t>
      </w:r>
      <w:r w:rsidRPr="00B23980">
        <w:rPr>
          <w:rFonts w:ascii="Times New Roman" w:eastAsia="Calibri" w:hAnsi="Times New Roman" w:cs="Times New Roman"/>
          <w:i/>
        </w:rPr>
        <w:t>“Convenience Value”</w:t>
      </w:r>
      <w:r w:rsidRPr="00B23980">
        <w:rPr>
          <w:rFonts w:ascii="Times New Roman" w:eastAsia="Calibri" w:hAnsi="Times New Roman" w:cs="Times New Roman"/>
        </w:rPr>
        <w:t xml:space="preserve"> to homeowners and is measured by “distance to” amenity from homes. Proximity of golf courses, waterfronts, parks and naturally preserved areas with passive recreational opportunities, urban parks are highly valued by amenity seeking homeowners. Proximity of such amenities offers convenience values to home owners as they can easily access and participate in the activities that are housed in the environmental resource without incurring any extra time, costs or additional efforts.</w:t>
      </w:r>
      <w:r w:rsidR="00C62DA2">
        <w:rPr>
          <w:rFonts w:ascii="Times New Roman" w:eastAsia="Calibri" w:hAnsi="Times New Roman" w:cs="Times New Roman"/>
        </w:rPr>
        <w:t xml:space="preserve"> Similarly, </w:t>
      </w:r>
      <w:r w:rsidRPr="00B23980">
        <w:rPr>
          <w:rFonts w:ascii="Times New Roman" w:eastAsia="Calibri" w:hAnsi="Times New Roman" w:cs="Times New Roman"/>
        </w:rPr>
        <w:t>“View of” environmental amenity offers</w:t>
      </w:r>
      <w:r w:rsidRPr="00B23980">
        <w:rPr>
          <w:rFonts w:ascii="Times New Roman" w:eastAsia="Calibri" w:hAnsi="Times New Roman" w:cs="Times New Roman"/>
          <w:i/>
        </w:rPr>
        <w:t xml:space="preserve"> “Aesthetic value”</w:t>
      </w:r>
      <w:r w:rsidRPr="00B23980">
        <w:rPr>
          <w:rFonts w:ascii="Times New Roman" w:eastAsia="Calibri" w:hAnsi="Times New Roman" w:cs="Times New Roman"/>
        </w:rPr>
        <w:t xml:space="preserve"> to homeowners and is measured by “view of” </w:t>
      </w:r>
      <w:r>
        <w:rPr>
          <w:rFonts w:ascii="Times New Roman" w:eastAsia="Calibri" w:hAnsi="Times New Roman" w:cs="Times New Roman"/>
        </w:rPr>
        <w:t>amenity by quality of view, exte</w:t>
      </w:r>
      <w:r w:rsidRPr="00B23980">
        <w:rPr>
          <w:rFonts w:ascii="Times New Roman" w:eastAsia="Calibri" w:hAnsi="Times New Roman" w:cs="Times New Roman"/>
        </w:rPr>
        <w:t xml:space="preserve">nt of view available or not, both in terms of angle of view and span of view. When the two measures -- “Proximity to” and “visibility of” environmental amenity are combined, then they have the greatest effect on the marginal implicit price of homes (paid as amenity premium) for consuming such amenity benefits. The </w:t>
      </w:r>
      <w:r w:rsidRPr="00B23980">
        <w:rPr>
          <w:rFonts w:ascii="Times New Roman" w:eastAsia="Calibri" w:hAnsi="Times New Roman" w:cs="Times New Roman"/>
          <w:i/>
        </w:rPr>
        <w:t>“Prospect refuge”</w:t>
      </w:r>
      <w:r w:rsidRPr="00B23980">
        <w:rPr>
          <w:rFonts w:ascii="Times New Roman" w:eastAsia="Calibri" w:hAnsi="Times New Roman" w:cs="Times New Roman"/>
        </w:rPr>
        <w:t xml:space="preserve"> theory also confirmed this. Extended and adjacent view of golf courses, extended view of waterfronts such as lakes, oceans and rivers, and parks both offer opportunity for homeowners enjoy the aesthetic landscape at the convenience </w:t>
      </w:r>
      <w:r w:rsidR="00AB3B9C">
        <w:rPr>
          <w:rFonts w:ascii="Times New Roman" w:eastAsia="Calibri" w:hAnsi="Times New Roman" w:cs="Times New Roman"/>
        </w:rPr>
        <w:t xml:space="preserve">of their homes. </w:t>
      </w:r>
      <w:r w:rsidRPr="00B23980">
        <w:rPr>
          <w:rFonts w:ascii="Times New Roman" w:eastAsia="Calibri" w:hAnsi="Times New Roman" w:cs="Times New Roman"/>
        </w:rPr>
        <w:t xml:space="preserve">High quality surroundings near homes are preferred by home owners. It is measured by “Percentage availability of such high quality amenities” with in a defined radius of a home in its surrounding areas. </w:t>
      </w:r>
    </w:p>
    <w:p w:rsidR="00AB3B9C" w:rsidRDefault="00384C4F" w:rsidP="00AB3B9C">
      <w:pPr>
        <w:spacing w:line="360" w:lineRule="auto"/>
        <w:rPr>
          <w:rFonts w:ascii="Times New Roman" w:eastAsia="Calibri" w:hAnsi="Times New Roman" w:cs="Times New Roman"/>
        </w:rPr>
      </w:pPr>
      <w:r>
        <w:rPr>
          <w:rFonts w:ascii="Times New Roman" w:eastAsia="Calibri" w:hAnsi="Times New Roman" w:cs="Times New Roman"/>
        </w:rPr>
        <w:t>Using interdisciplinary literature review from various disciplines such as real estate valuation, land use planning, geography, reginal science, and natural resource management literature, t</w:t>
      </w:r>
      <w:r w:rsidR="00AB3B9C" w:rsidRPr="00687C78">
        <w:rPr>
          <w:rFonts w:ascii="Times New Roman" w:eastAsia="Calibri" w:hAnsi="Times New Roman" w:cs="Times New Roman"/>
        </w:rPr>
        <w:t>his</w:t>
      </w:r>
      <w:r w:rsidR="00C62DA2">
        <w:rPr>
          <w:rFonts w:ascii="Times New Roman" w:eastAsia="Calibri" w:hAnsi="Times New Roman" w:cs="Times New Roman"/>
        </w:rPr>
        <w:t xml:space="preserve"> paper </w:t>
      </w:r>
      <w:r w:rsidR="00AB3B9C" w:rsidRPr="00687C78">
        <w:rPr>
          <w:rFonts w:ascii="Times New Roman" w:eastAsia="Calibri" w:hAnsi="Times New Roman" w:cs="Times New Roman"/>
        </w:rPr>
        <w:t>provides a useful insight to city planners, real estate professionals and appraisers. Planners can</w:t>
      </w:r>
      <w:r w:rsidR="00CF482E">
        <w:rPr>
          <w:rFonts w:ascii="Times New Roman" w:eastAsia="Calibri" w:hAnsi="Times New Roman" w:cs="Times New Roman"/>
        </w:rPr>
        <w:t xml:space="preserve"> use the findings and can</w:t>
      </w:r>
      <w:r w:rsidR="00AB3B9C" w:rsidRPr="00687C78">
        <w:rPr>
          <w:rFonts w:ascii="Times New Roman" w:eastAsia="Calibri" w:hAnsi="Times New Roman" w:cs="Times New Roman"/>
        </w:rPr>
        <w:t xml:space="preserve"> confidently plan environmental land uses and estimate potential gains in </w:t>
      </w:r>
      <w:r w:rsidR="00AB3B9C">
        <w:rPr>
          <w:rFonts w:ascii="Times New Roman" w:eastAsia="Calibri" w:hAnsi="Times New Roman" w:cs="Times New Roman"/>
        </w:rPr>
        <w:t xml:space="preserve">property </w:t>
      </w:r>
      <w:r w:rsidR="00AB3B9C" w:rsidRPr="00687C78">
        <w:rPr>
          <w:rFonts w:ascii="Times New Roman" w:eastAsia="Calibri" w:hAnsi="Times New Roman" w:cs="Times New Roman"/>
        </w:rPr>
        <w:t>tax revenues due to incre</w:t>
      </w:r>
      <w:r w:rsidR="00CF482E">
        <w:rPr>
          <w:rFonts w:ascii="Times New Roman" w:eastAsia="Calibri" w:hAnsi="Times New Roman" w:cs="Times New Roman"/>
        </w:rPr>
        <w:t xml:space="preserve">mental changes </w:t>
      </w:r>
      <w:r w:rsidR="00AB3B9C">
        <w:rPr>
          <w:rFonts w:ascii="Times New Roman" w:eastAsia="Calibri" w:hAnsi="Times New Roman" w:cs="Times New Roman"/>
        </w:rPr>
        <w:t xml:space="preserve">in neighboring property </w:t>
      </w:r>
      <w:r w:rsidR="00AB3B9C" w:rsidRPr="00687C78">
        <w:rPr>
          <w:rFonts w:ascii="Times New Roman" w:eastAsia="Calibri" w:hAnsi="Times New Roman" w:cs="Times New Roman"/>
        </w:rPr>
        <w:t>values</w:t>
      </w:r>
      <w:r w:rsidR="00AB3B9C">
        <w:rPr>
          <w:rFonts w:ascii="Times New Roman" w:eastAsia="Calibri" w:hAnsi="Times New Roman" w:cs="Times New Roman"/>
        </w:rPr>
        <w:t>;</w:t>
      </w:r>
      <w:r w:rsidR="00AB3B9C" w:rsidRPr="00687C78">
        <w:rPr>
          <w:rFonts w:ascii="Times New Roman" w:eastAsia="Calibri" w:hAnsi="Times New Roman" w:cs="Times New Roman"/>
        </w:rPr>
        <w:t xml:space="preserve"> real estate developers and investors can use the</w:t>
      </w:r>
      <w:r w:rsidR="00AB3B9C">
        <w:rPr>
          <w:rFonts w:ascii="Times New Roman" w:eastAsia="Calibri" w:hAnsi="Times New Roman" w:cs="Times New Roman"/>
        </w:rPr>
        <w:t xml:space="preserve"> </w:t>
      </w:r>
      <w:r w:rsidR="00AB3B9C" w:rsidRPr="007A496D">
        <w:rPr>
          <w:rFonts w:ascii="Times New Roman" w:eastAsia="Calibri" w:hAnsi="Times New Roman" w:cs="Times New Roman"/>
        </w:rPr>
        <w:t>synthetic</w:t>
      </w:r>
      <w:r w:rsidR="00AB3B9C" w:rsidRPr="00687C78">
        <w:rPr>
          <w:rFonts w:ascii="Times New Roman" w:eastAsia="Calibri" w:hAnsi="Times New Roman" w:cs="Times New Roman"/>
        </w:rPr>
        <w:t xml:space="preserve"> insight</w:t>
      </w:r>
      <w:r w:rsidR="00AB3B9C">
        <w:rPr>
          <w:rFonts w:ascii="Times New Roman" w:eastAsia="Calibri" w:hAnsi="Times New Roman" w:cs="Times New Roman"/>
        </w:rPr>
        <w:t>s</w:t>
      </w:r>
      <w:r w:rsidR="00AB3B9C" w:rsidRPr="00687C78">
        <w:rPr>
          <w:rFonts w:ascii="Times New Roman" w:eastAsia="Calibri" w:hAnsi="Times New Roman" w:cs="Times New Roman"/>
        </w:rPr>
        <w:t xml:space="preserve"> and plan their </w:t>
      </w:r>
      <w:r w:rsidR="00AB3B9C">
        <w:rPr>
          <w:rFonts w:ascii="Times New Roman" w:eastAsia="Calibri" w:hAnsi="Times New Roman" w:cs="Times New Roman"/>
        </w:rPr>
        <w:t xml:space="preserve">new </w:t>
      </w:r>
      <w:r w:rsidR="00AB3B9C" w:rsidRPr="00687C78">
        <w:rPr>
          <w:rFonts w:ascii="Times New Roman" w:eastAsia="Calibri" w:hAnsi="Times New Roman" w:cs="Times New Roman"/>
        </w:rPr>
        <w:t>developments around amenit</w:t>
      </w:r>
      <w:r w:rsidR="00CF482E">
        <w:rPr>
          <w:rFonts w:ascii="Times New Roman" w:eastAsia="Calibri" w:hAnsi="Times New Roman" w:cs="Times New Roman"/>
        </w:rPr>
        <w:t xml:space="preserve">y generating land uses </w:t>
      </w:r>
      <w:r w:rsidR="00AB3B9C">
        <w:rPr>
          <w:rFonts w:ascii="Times New Roman" w:eastAsia="Calibri" w:hAnsi="Times New Roman" w:cs="Times New Roman"/>
        </w:rPr>
        <w:t xml:space="preserve">to </w:t>
      </w:r>
      <w:r w:rsidR="00AB3B9C" w:rsidRPr="00687C78">
        <w:rPr>
          <w:rFonts w:ascii="Times New Roman" w:eastAsia="Calibri" w:hAnsi="Times New Roman" w:cs="Times New Roman"/>
        </w:rPr>
        <w:t xml:space="preserve">capture </w:t>
      </w:r>
      <w:r w:rsidR="00AB3B9C">
        <w:rPr>
          <w:rFonts w:ascii="Times New Roman" w:eastAsia="Calibri" w:hAnsi="Times New Roman" w:cs="Times New Roman"/>
        </w:rPr>
        <w:t>an</w:t>
      </w:r>
      <w:r w:rsidR="00CF482E">
        <w:rPr>
          <w:rFonts w:ascii="Times New Roman" w:eastAsia="Calibri" w:hAnsi="Times New Roman" w:cs="Times New Roman"/>
        </w:rPr>
        <w:t>d</w:t>
      </w:r>
      <w:r w:rsidR="00AB3B9C">
        <w:rPr>
          <w:rFonts w:ascii="Times New Roman" w:eastAsia="Calibri" w:hAnsi="Times New Roman" w:cs="Times New Roman"/>
        </w:rPr>
        <w:t xml:space="preserve"> pass the </w:t>
      </w:r>
      <w:r w:rsidR="00AB3B9C" w:rsidRPr="00687C78">
        <w:rPr>
          <w:rFonts w:ascii="Times New Roman" w:eastAsia="Calibri" w:hAnsi="Times New Roman" w:cs="Times New Roman"/>
        </w:rPr>
        <w:t xml:space="preserve">hedonic values </w:t>
      </w:r>
      <w:r w:rsidR="00AB3B9C">
        <w:rPr>
          <w:rFonts w:ascii="Times New Roman" w:eastAsia="Calibri" w:hAnsi="Times New Roman" w:cs="Times New Roman"/>
        </w:rPr>
        <w:t>to</w:t>
      </w:r>
      <w:r w:rsidR="00AB3B9C" w:rsidRPr="00687C78">
        <w:rPr>
          <w:rFonts w:ascii="Times New Roman" w:eastAsia="Calibri" w:hAnsi="Times New Roman" w:cs="Times New Roman"/>
        </w:rPr>
        <w:t xml:space="preserve"> their end users</w:t>
      </w:r>
      <w:r w:rsidR="00AB3B9C">
        <w:rPr>
          <w:rFonts w:ascii="Times New Roman" w:eastAsia="Calibri" w:hAnsi="Times New Roman" w:cs="Times New Roman"/>
        </w:rPr>
        <w:t>;</w:t>
      </w:r>
      <w:r w:rsidR="00AB3B9C" w:rsidRPr="00687C78">
        <w:rPr>
          <w:rFonts w:ascii="Times New Roman" w:eastAsia="Calibri" w:hAnsi="Times New Roman" w:cs="Times New Roman"/>
        </w:rPr>
        <w:t xml:space="preserve"> appraisers can </w:t>
      </w:r>
      <w:r w:rsidR="00CF482E">
        <w:rPr>
          <w:rFonts w:ascii="Times New Roman" w:eastAsia="Calibri" w:hAnsi="Times New Roman" w:cs="Times New Roman"/>
        </w:rPr>
        <w:t xml:space="preserve">also </w:t>
      </w:r>
      <w:r w:rsidR="00AB3B9C" w:rsidRPr="00687C78">
        <w:rPr>
          <w:rFonts w:ascii="Times New Roman" w:eastAsia="Calibri" w:hAnsi="Times New Roman" w:cs="Times New Roman"/>
        </w:rPr>
        <w:t xml:space="preserve">use </w:t>
      </w:r>
      <w:r w:rsidR="00CF482E">
        <w:rPr>
          <w:rFonts w:ascii="Times New Roman" w:eastAsia="Calibri" w:hAnsi="Times New Roman" w:cs="Times New Roman"/>
        </w:rPr>
        <w:t xml:space="preserve">the findings </w:t>
      </w:r>
      <w:r w:rsidR="00AB3B9C" w:rsidRPr="00687C78">
        <w:rPr>
          <w:rFonts w:ascii="Times New Roman" w:eastAsia="Calibri" w:hAnsi="Times New Roman" w:cs="Times New Roman"/>
        </w:rPr>
        <w:t xml:space="preserve">to derive </w:t>
      </w:r>
      <w:r w:rsidR="00AB3B9C">
        <w:rPr>
          <w:rFonts w:ascii="Times New Roman" w:eastAsia="Calibri" w:hAnsi="Times New Roman" w:cs="Times New Roman"/>
        </w:rPr>
        <w:t xml:space="preserve">price </w:t>
      </w:r>
      <w:r w:rsidR="00AB3B9C" w:rsidRPr="00687C78">
        <w:rPr>
          <w:rFonts w:ascii="Times New Roman" w:eastAsia="Calibri" w:hAnsi="Times New Roman" w:cs="Times New Roman"/>
        </w:rPr>
        <w:t xml:space="preserve">adjustments required for </w:t>
      </w:r>
      <w:r w:rsidR="00AB3B9C">
        <w:rPr>
          <w:rFonts w:ascii="Times New Roman" w:eastAsia="Calibri" w:hAnsi="Times New Roman" w:cs="Times New Roman"/>
        </w:rPr>
        <w:t xml:space="preserve">appraising </w:t>
      </w:r>
      <w:r w:rsidR="00AB3B9C" w:rsidRPr="00687C78">
        <w:rPr>
          <w:rFonts w:ascii="Times New Roman" w:eastAsia="Calibri" w:hAnsi="Times New Roman" w:cs="Times New Roman"/>
        </w:rPr>
        <w:t>houses located around such environmental amenities.</w:t>
      </w:r>
    </w:p>
    <w:p w:rsidR="000E65CE" w:rsidRDefault="000E65CE" w:rsidP="00AB3B9C">
      <w:pPr>
        <w:spacing w:line="360" w:lineRule="auto"/>
        <w:rPr>
          <w:rFonts w:ascii="Times New Roman" w:eastAsia="Calibri" w:hAnsi="Times New Roman" w:cs="Times New Roman"/>
        </w:rPr>
      </w:pPr>
    </w:p>
    <w:p w:rsidR="000E65CE" w:rsidRPr="00C62DA2" w:rsidRDefault="000E65CE" w:rsidP="00AB3B9C">
      <w:pPr>
        <w:spacing w:line="360" w:lineRule="auto"/>
        <w:rPr>
          <w:rFonts w:ascii="Times New Roman" w:eastAsia="Calibri" w:hAnsi="Times New Roman" w:cs="Times New Roman"/>
          <w:b/>
        </w:rPr>
      </w:pPr>
      <w:r w:rsidRPr="00C62DA2">
        <w:rPr>
          <w:rFonts w:ascii="Times New Roman" w:eastAsia="Calibri" w:hAnsi="Times New Roman" w:cs="Times New Roman"/>
          <w:b/>
        </w:rPr>
        <w:t>Reference:</w:t>
      </w:r>
    </w:p>
    <w:p w:rsidR="00C62DA2" w:rsidRPr="00C62DA2" w:rsidRDefault="00C62DA2" w:rsidP="00C62DA2">
      <w:pPr>
        <w:spacing w:before="60" w:after="0" w:line="240" w:lineRule="auto"/>
        <w:rPr>
          <w:rFonts w:ascii="Times New Roman" w:eastAsia="MS Mincho" w:hAnsi="Times New Roman" w:cs="Times New Roman"/>
          <w:color w:val="0070C0"/>
          <w:sz w:val="20"/>
          <w:szCs w:val="20"/>
          <w:lang w:eastAsia="ja-JP"/>
        </w:rPr>
      </w:pPr>
      <w:r w:rsidRPr="00C62DA2">
        <w:rPr>
          <w:rFonts w:ascii="Times New Roman" w:eastAsia="Calibri" w:hAnsi="Times New Roman" w:cs="Times New Roman"/>
          <w:color w:val="0070C0"/>
          <w:sz w:val="20"/>
          <w:szCs w:val="20"/>
          <w:shd w:val="clear" w:color="auto" w:fill="FFFFFF"/>
        </w:rPr>
        <w:t>Bourassa</w:t>
      </w:r>
      <w:r w:rsidRPr="00C62DA2">
        <w:rPr>
          <w:rFonts w:ascii="Times New Roman" w:eastAsia="MS Mincho" w:hAnsi="Times New Roman" w:cs="Times New Roman"/>
          <w:color w:val="0070C0"/>
          <w:sz w:val="20"/>
          <w:szCs w:val="20"/>
          <w:lang w:eastAsia="ja-JP"/>
        </w:rPr>
        <w:t xml:space="preserve">, Steven C., Martin </w:t>
      </w:r>
      <w:proofErr w:type="spellStart"/>
      <w:r w:rsidRPr="00C62DA2">
        <w:rPr>
          <w:rFonts w:ascii="Times New Roman" w:eastAsia="MS Mincho" w:hAnsi="Times New Roman" w:cs="Times New Roman"/>
          <w:color w:val="0070C0"/>
          <w:sz w:val="20"/>
          <w:szCs w:val="20"/>
          <w:lang w:eastAsia="ja-JP"/>
        </w:rPr>
        <w:t>Hoesli</w:t>
      </w:r>
      <w:proofErr w:type="spellEnd"/>
      <w:r w:rsidRPr="00C62DA2">
        <w:rPr>
          <w:rFonts w:ascii="Times New Roman" w:eastAsia="MS Mincho" w:hAnsi="Times New Roman" w:cs="Times New Roman"/>
          <w:color w:val="0070C0"/>
          <w:sz w:val="20"/>
          <w:szCs w:val="20"/>
          <w:lang w:eastAsia="ja-JP"/>
        </w:rPr>
        <w:t xml:space="preserve">, and Jian Sun. “What's in a View?” </w:t>
      </w:r>
      <w:r w:rsidRPr="00C62DA2">
        <w:rPr>
          <w:rFonts w:ascii="Times New Roman" w:eastAsia="MS Mincho" w:hAnsi="Times New Roman" w:cs="Times New Roman"/>
          <w:i/>
          <w:iCs/>
          <w:color w:val="0070C0"/>
          <w:sz w:val="20"/>
          <w:szCs w:val="20"/>
          <w:lang w:eastAsia="ja-JP"/>
        </w:rPr>
        <w:t>Environment and Planning A</w:t>
      </w:r>
      <w:r w:rsidRPr="00C62DA2">
        <w:rPr>
          <w:rFonts w:ascii="Times New Roman" w:eastAsia="MS Mincho" w:hAnsi="Times New Roman" w:cs="Times New Roman"/>
          <w:color w:val="0070C0"/>
          <w:sz w:val="20"/>
          <w:szCs w:val="20"/>
          <w:lang w:eastAsia="ja-JP"/>
        </w:rPr>
        <w:t xml:space="preserve"> 36(2004): 1427-1450. </w:t>
      </w:r>
    </w:p>
    <w:p w:rsidR="00C62DA2" w:rsidRPr="00C62DA2" w:rsidRDefault="00C62DA2" w:rsidP="00C62DA2">
      <w:pPr>
        <w:spacing w:before="60" w:after="0" w:line="240" w:lineRule="auto"/>
        <w:rPr>
          <w:rFonts w:ascii="Times New Roman" w:eastAsia="Calibri" w:hAnsi="Times New Roman" w:cs="Times New Roman"/>
          <w:color w:val="0070C0"/>
          <w:sz w:val="20"/>
          <w:szCs w:val="20"/>
        </w:rPr>
      </w:pPr>
      <w:r w:rsidRPr="00C62DA2">
        <w:rPr>
          <w:rFonts w:ascii="Times New Roman" w:eastAsia="Calibri" w:hAnsi="Times New Roman" w:cs="Times New Roman"/>
          <w:color w:val="0070C0"/>
          <w:sz w:val="20"/>
          <w:szCs w:val="20"/>
          <w:shd w:val="clear" w:color="auto" w:fill="FFFFFF"/>
        </w:rPr>
        <w:t>Boyle</w:t>
      </w:r>
      <w:r w:rsidRPr="00C62DA2">
        <w:rPr>
          <w:rFonts w:ascii="Times New Roman" w:eastAsia="Calibri" w:hAnsi="Times New Roman" w:cs="Times New Roman"/>
          <w:color w:val="0070C0"/>
          <w:sz w:val="20"/>
          <w:szCs w:val="20"/>
        </w:rPr>
        <w:t xml:space="preserve">, Melissa and Katherine Kiel. “A Survey of House Price Hedonic Studies of the Impact of Environmental Externalities,” </w:t>
      </w:r>
      <w:r w:rsidRPr="00C62DA2">
        <w:rPr>
          <w:rFonts w:ascii="Times New Roman" w:eastAsia="Calibri" w:hAnsi="Times New Roman" w:cs="Times New Roman"/>
          <w:i/>
          <w:iCs/>
          <w:color w:val="0070C0"/>
          <w:sz w:val="20"/>
          <w:szCs w:val="20"/>
        </w:rPr>
        <w:t>Journal of Real Estate Literature</w:t>
      </w:r>
      <w:r w:rsidRPr="00C62DA2">
        <w:rPr>
          <w:rFonts w:ascii="Times New Roman" w:eastAsia="Calibri" w:hAnsi="Times New Roman" w:cs="Times New Roman"/>
          <w:color w:val="0070C0"/>
          <w:sz w:val="20"/>
          <w:szCs w:val="20"/>
        </w:rPr>
        <w:t xml:space="preserve"> 9, no. 2 (2001): 117-144.  </w:t>
      </w:r>
    </w:p>
    <w:p w:rsidR="00C62DA2" w:rsidRPr="00C62DA2" w:rsidRDefault="00C62DA2" w:rsidP="00C62DA2">
      <w:pPr>
        <w:spacing w:before="60" w:after="0" w:line="240" w:lineRule="auto"/>
        <w:rPr>
          <w:rFonts w:ascii="Times New Roman" w:eastAsia="Times New Roman" w:hAnsi="Times New Roman" w:cs="Times New Roman"/>
          <w:color w:val="0070C0"/>
          <w:sz w:val="20"/>
          <w:szCs w:val="20"/>
          <w:lang w:eastAsia="ja-JP"/>
        </w:rPr>
      </w:pPr>
      <w:r w:rsidRPr="00C62DA2">
        <w:rPr>
          <w:rFonts w:ascii="Times New Roman" w:eastAsia="Calibri" w:hAnsi="Times New Roman" w:cs="Times New Roman"/>
          <w:color w:val="0070C0"/>
          <w:sz w:val="20"/>
          <w:szCs w:val="20"/>
          <w:shd w:val="clear" w:color="auto" w:fill="FFFFFF"/>
        </w:rPr>
        <w:t xml:space="preserve">Brander, Luke M., and Mark J. </w:t>
      </w:r>
      <w:proofErr w:type="spellStart"/>
      <w:r w:rsidRPr="00C62DA2">
        <w:rPr>
          <w:rFonts w:ascii="Times New Roman" w:eastAsia="Calibri" w:hAnsi="Times New Roman" w:cs="Times New Roman"/>
          <w:color w:val="0070C0"/>
          <w:sz w:val="20"/>
          <w:szCs w:val="20"/>
          <w:shd w:val="clear" w:color="auto" w:fill="FFFFFF"/>
        </w:rPr>
        <w:t>Koetse</w:t>
      </w:r>
      <w:proofErr w:type="spellEnd"/>
      <w:r w:rsidRPr="00C62DA2">
        <w:rPr>
          <w:rFonts w:ascii="Times New Roman" w:eastAsia="Calibri" w:hAnsi="Times New Roman" w:cs="Times New Roman"/>
          <w:color w:val="0070C0"/>
          <w:sz w:val="20"/>
          <w:szCs w:val="20"/>
          <w:shd w:val="clear" w:color="auto" w:fill="FFFFFF"/>
        </w:rPr>
        <w:t xml:space="preserve">. "The value of urban open space: Meta-analyses of contingent valuation and hedonic pricing results." </w:t>
      </w:r>
      <w:r w:rsidRPr="00C62DA2">
        <w:rPr>
          <w:rFonts w:ascii="Times New Roman" w:eastAsia="Calibri" w:hAnsi="Times New Roman" w:cs="Times New Roman"/>
          <w:i/>
          <w:iCs/>
          <w:color w:val="0070C0"/>
          <w:sz w:val="20"/>
          <w:szCs w:val="20"/>
          <w:shd w:val="clear" w:color="auto" w:fill="FFFFFF"/>
        </w:rPr>
        <w:t>Journal of Environmental Management</w:t>
      </w:r>
      <w:r w:rsidRPr="00C62DA2">
        <w:rPr>
          <w:rFonts w:ascii="Times New Roman" w:eastAsia="Calibri" w:hAnsi="Times New Roman" w:cs="Times New Roman"/>
          <w:color w:val="0070C0"/>
          <w:sz w:val="20"/>
          <w:szCs w:val="20"/>
          <w:shd w:val="clear" w:color="auto" w:fill="FFFFFF"/>
        </w:rPr>
        <w:t xml:space="preserve"> 92, no. 10 (2011): 2763-2773.</w:t>
      </w:r>
      <w:r w:rsidRPr="00C62DA2">
        <w:rPr>
          <w:rFonts w:ascii="Times New Roman" w:eastAsia="Times New Roman" w:hAnsi="Times New Roman" w:cs="Times New Roman"/>
          <w:color w:val="0070C0"/>
          <w:sz w:val="20"/>
          <w:szCs w:val="20"/>
          <w:lang w:eastAsia="ja-JP"/>
        </w:rPr>
        <w:t xml:space="preserve"> </w:t>
      </w:r>
    </w:p>
    <w:p w:rsidR="005E53B4" w:rsidRDefault="005E53B4" w:rsidP="00C62DA2">
      <w:pPr>
        <w:spacing w:before="60" w:after="0" w:line="240" w:lineRule="auto"/>
        <w:rPr>
          <w:rFonts w:ascii="Times New Roman" w:eastAsia="Calibri" w:hAnsi="Times New Roman" w:cs="Times New Roman"/>
          <w:color w:val="0070C0"/>
          <w:sz w:val="20"/>
          <w:szCs w:val="20"/>
        </w:rPr>
      </w:pPr>
      <w:r w:rsidRPr="005E53B4">
        <w:rPr>
          <w:rFonts w:ascii="Times New Roman" w:eastAsia="Calibri" w:hAnsi="Times New Roman" w:cs="Times New Roman"/>
          <w:color w:val="0070C0"/>
          <w:sz w:val="20"/>
          <w:szCs w:val="20"/>
          <w:lang w:val="en"/>
        </w:rPr>
        <w:lastRenderedPageBreak/>
        <w:t>Crompton</w:t>
      </w:r>
      <w:r w:rsidRPr="005E53B4">
        <w:rPr>
          <w:rFonts w:ascii="Times New Roman" w:eastAsia="Calibri" w:hAnsi="Times New Roman" w:cs="Times New Roman"/>
          <w:color w:val="0070C0"/>
          <w:sz w:val="20"/>
          <w:szCs w:val="20"/>
        </w:rPr>
        <w:t xml:space="preserve">, John. “The Impact of Parks on Property Values: A Review of the Empirical Evidence,” </w:t>
      </w:r>
      <w:r w:rsidRPr="005E53B4">
        <w:rPr>
          <w:rFonts w:ascii="Times New Roman" w:eastAsia="Calibri" w:hAnsi="Times New Roman" w:cs="Times New Roman"/>
          <w:i/>
          <w:iCs/>
          <w:color w:val="0070C0"/>
          <w:sz w:val="20"/>
          <w:szCs w:val="20"/>
        </w:rPr>
        <w:t xml:space="preserve">Journal of Leisure Research </w:t>
      </w:r>
      <w:r w:rsidRPr="005E53B4">
        <w:rPr>
          <w:rFonts w:ascii="Times New Roman" w:eastAsia="Calibri" w:hAnsi="Times New Roman" w:cs="Times New Roman"/>
          <w:color w:val="0070C0"/>
          <w:sz w:val="20"/>
          <w:szCs w:val="20"/>
        </w:rPr>
        <w:t>33, no.1 (2001): 1-31.</w:t>
      </w:r>
    </w:p>
    <w:p w:rsidR="005E53B4" w:rsidRPr="005E53B4" w:rsidRDefault="005E53B4" w:rsidP="00C62DA2">
      <w:pPr>
        <w:spacing w:before="60" w:after="0" w:line="240" w:lineRule="auto"/>
        <w:rPr>
          <w:rFonts w:ascii="Times New Roman" w:eastAsia="Calibri" w:hAnsi="Times New Roman" w:cs="Times New Roman"/>
          <w:color w:val="0070C0"/>
          <w:sz w:val="20"/>
          <w:szCs w:val="20"/>
        </w:rPr>
      </w:pPr>
      <w:r w:rsidRPr="005E53B4">
        <w:rPr>
          <w:rFonts w:ascii="Times New Roman" w:eastAsia="Calibri" w:hAnsi="Times New Roman" w:cs="Times New Roman"/>
          <w:color w:val="0070C0"/>
          <w:sz w:val="20"/>
          <w:szCs w:val="20"/>
          <w:lang w:val="en"/>
        </w:rPr>
        <w:t>Crompton</w:t>
      </w:r>
      <w:r w:rsidRPr="005E53B4">
        <w:rPr>
          <w:rFonts w:ascii="Times New Roman" w:eastAsia="Calibri" w:hAnsi="Times New Roman" w:cs="Times New Roman"/>
          <w:color w:val="0070C0"/>
          <w:sz w:val="20"/>
          <w:szCs w:val="20"/>
          <w:shd w:val="clear" w:color="auto" w:fill="FFFFFF"/>
        </w:rPr>
        <w:t xml:space="preserve">, John L. "The impact of parks on property values: empirical evidence from the past two decades in the United States." </w:t>
      </w:r>
      <w:r w:rsidRPr="005E53B4">
        <w:rPr>
          <w:rFonts w:ascii="Times New Roman" w:eastAsia="Calibri" w:hAnsi="Times New Roman" w:cs="Times New Roman"/>
          <w:i/>
          <w:iCs/>
          <w:color w:val="0070C0"/>
          <w:sz w:val="20"/>
          <w:szCs w:val="20"/>
          <w:shd w:val="clear" w:color="auto" w:fill="FFFFFF"/>
        </w:rPr>
        <w:t>Managing Leisure</w:t>
      </w:r>
      <w:r w:rsidRPr="005E53B4">
        <w:rPr>
          <w:rFonts w:ascii="Times New Roman" w:eastAsia="Calibri" w:hAnsi="Times New Roman" w:cs="Times New Roman"/>
          <w:color w:val="0070C0"/>
          <w:sz w:val="20"/>
          <w:szCs w:val="20"/>
          <w:shd w:val="clear" w:color="auto" w:fill="FFFFFF"/>
        </w:rPr>
        <w:t xml:space="preserve"> 10, no. 4 (2005): 203-218.  </w:t>
      </w:r>
    </w:p>
    <w:p w:rsidR="00227F4B" w:rsidRPr="00227F4B" w:rsidRDefault="00227F4B" w:rsidP="00C62DA2">
      <w:pPr>
        <w:spacing w:before="60" w:after="0" w:line="240" w:lineRule="auto"/>
        <w:rPr>
          <w:rFonts w:ascii="Times New Roman" w:eastAsia="Calibri" w:hAnsi="Times New Roman" w:cs="Times New Roman"/>
          <w:color w:val="0070C0"/>
          <w:sz w:val="20"/>
          <w:szCs w:val="20"/>
          <w:lang w:val="en"/>
        </w:rPr>
      </w:pPr>
      <w:proofErr w:type="spellStart"/>
      <w:r w:rsidRPr="00227F4B">
        <w:rPr>
          <w:rFonts w:ascii="Times New Roman" w:eastAsia="Calibri" w:hAnsi="Times New Roman" w:cs="Times New Roman"/>
          <w:color w:val="0070C0"/>
          <w:sz w:val="20"/>
          <w:szCs w:val="20"/>
          <w:lang w:val="en"/>
        </w:rPr>
        <w:t>Fausold</w:t>
      </w:r>
      <w:proofErr w:type="spellEnd"/>
      <w:r w:rsidRPr="00227F4B">
        <w:rPr>
          <w:rFonts w:ascii="Times New Roman" w:eastAsia="Calibri" w:hAnsi="Times New Roman" w:cs="Times New Roman"/>
          <w:color w:val="0070C0"/>
          <w:sz w:val="20"/>
          <w:szCs w:val="20"/>
          <w:lang w:val="en"/>
        </w:rPr>
        <w:t xml:space="preserve">, Charles J., and Robert J. </w:t>
      </w:r>
      <w:proofErr w:type="spellStart"/>
      <w:r w:rsidRPr="00227F4B">
        <w:rPr>
          <w:rFonts w:ascii="Times New Roman" w:eastAsia="Calibri" w:hAnsi="Times New Roman" w:cs="Times New Roman"/>
          <w:color w:val="0070C0"/>
          <w:sz w:val="20"/>
          <w:szCs w:val="20"/>
          <w:lang w:val="en"/>
        </w:rPr>
        <w:t>Lilieholm</w:t>
      </w:r>
      <w:proofErr w:type="spellEnd"/>
      <w:r w:rsidRPr="00227F4B">
        <w:rPr>
          <w:rFonts w:ascii="Times New Roman" w:eastAsia="Calibri" w:hAnsi="Times New Roman" w:cs="Times New Roman"/>
          <w:color w:val="0070C0"/>
          <w:sz w:val="20"/>
          <w:szCs w:val="20"/>
          <w:lang w:val="en"/>
        </w:rPr>
        <w:t xml:space="preserve">. “The economic value of open space: A review and synthesis.” </w:t>
      </w:r>
      <w:r w:rsidRPr="00227F4B">
        <w:rPr>
          <w:rFonts w:ascii="Times New Roman" w:eastAsia="Calibri" w:hAnsi="Times New Roman" w:cs="Times New Roman"/>
          <w:i/>
          <w:color w:val="0070C0"/>
          <w:sz w:val="20"/>
          <w:szCs w:val="20"/>
          <w:lang w:val="en"/>
        </w:rPr>
        <w:t>Environmental Management</w:t>
      </w:r>
      <w:r w:rsidRPr="00227F4B">
        <w:rPr>
          <w:rFonts w:ascii="Times New Roman" w:eastAsia="Calibri" w:hAnsi="Times New Roman" w:cs="Times New Roman"/>
          <w:color w:val="0070C0"/>
          <w:lang w:val="en"/>
        </w:rPr>
        <w:t xml:space="preserve"> </w:t>
      </w:r>
      <w:r w:rsidRPr="00227F4B">
        <w:rPr>
          <w:rFonts w:ascii="Times New Roman" w:eastAsia="Calibri" w:hAnsi="Times New Roman" w:cs="Times New Roman"/>
          <w:color w:val="0070C0"/>
          <w:sz w:val="20"/>
          <w:szCs w:val="20"/>
          <w:lang w:val="en"/>
        </w:rPr>
        <w:t>23, no. 3 (1999): 307-320.</w:t>
      </w:r>
    </w:p>
    <w:p w:rsidR="00227F4B" w:rsidRDefault="00227F4B" w:rsidP="00C62DA2">
      <w:pPr>
        <w:spacing w:before="60" w:after="0" w:line="240" w:lineRule="auto"/>
        <w:rPr>
          <w:rFonts w:ascii="Times New Roman" w:eastAsia="Calibri" w:hAnsi="Times New Roman" w:cs="Times New Roman"/>
          <w:color w:val="0070C0"/>
          <w:sz w:val="20"/>
          <w:szCs w:val="20"/>
          <w:shd w:val="clear" w:color="auto" w:fill="FFFFFF"/>
        </w:rPr>
      </w:pPr>
    </w:p>
    <w:p w:rsidR="00AE7B7E" w:rsidRPr="00AE7B7E" w:rsidRDefault="00AE7B7E" w:rsidP="00C62DA2">
      <w:pPr>
        <w:spacing w:before="60" w:after="0" w:line="240" w:lineRule="auto"/>
        <w:rPr>
          <w:rFonts w:ascii="Times New Roman" w:eastAsia="Calibri" w:hAnsi="Times New Roman" w:cs="Times New Roman"/>
          <w:color w:val="0070C0"/>
          <w:sz w:val="20"/>
          <w:szCs w:val="20"/>
        </w:rPr>
      </w:pPr>
      <w:r w:rsidRPr="00AE7B7E">
        <w:rPr>
          <w:rFonts w:ascii="Times New Roman" w:eastAsia="Calibri" w:hAnsi="Times New Roman" w:cs="Times New Roman"/>
          <w:color w:val="0070C0"/>
          <w:sz w:val="20"/>
          <w:szCs w:val="20"/>
        </w:rPr>
        <w:t xml:space="preserve">Freeman III, A. Myrick. “Hedonic prices, property values and measuring environmental benefits: a survey of the issues.” </w:t>
      </w:r>
      <w:r w:rsidRPr="00AE7B7E">
        <w:rPr>
          <w:rFonts w:ascii="Times New Roman" w:eastAsia="Calibri" w:hAnsi="Times New Roman" w:cs="Times New Roman"/>
          <w:i/>
          <w:color w:val="0070C0"/>
          <w:sz w:val="20"/>
          <w:szCs w:val="20"/>
        </w:rPr>
        <w:t>The Scandinavian Journal of Economics</w:t>
      </w:r>
      <w:r w:rsidRPr="00AE7B7E">
        <w:rPr>
          <w:rFonts w:ascii="Times New Roman" w:eastAsia="Calibri" w:hAnsi="Times New Roman" w:cs="Times New Roman"/>
          <w:color w:val="0070C0"/>
        </w:rPr>
        <w:t xml:space="preserve"> </w:t>
      </w:r>
      <w:r w:rsidRPr="00AE7B7E">
        <w:rPr>
          <w:rFonts w:ascii="Times New Roman" w:eastAsia="Calibri" w:hAnsi="Times New Roman" w:cs="Times New Roman"/>
          <w:color w:val="0070C0"/>
          <w:sz w:val="20"/>
          <w:szCs w:val="20"/>
        </w:rPr>
        <w:t xml:space="preserve">(1979): 154-173. </w:t>
      </w:r>
    </w:p>
    <w:p w:rsidR="00AE7B7E" w:rsidRPr="00227F4B" w:rsidRDefault="00AE7B7E" w:rsidP="00C62DA2">
      <w:pPr>
        <w:spacing w:before="60" w:after="0" w:line="240" w:lineRule="auto"/>
        <w:rPr>
          <w:rFonts w:ascii="Times New Roman" w:eastAsia="Calibri" w:hAnsi="Times New Roman" w:cs="Times New Roman"/>
          <w:color w:val="0070C0"/>
          <w:sz w:val="20"/>
          <w:szCs w:val="20"/>
        </w:rPr>
      </w:pPr>
      <w:r w:rsidRPr="00227F4B">
        <w:rPr>
          <w:rFonts w:ascii="Times New Roman" w:eastAsia="Calibri" w:hAnsi="Times New Roman" w:cs="Times New Roman"/>
          <w:color w:val="0070C0"/>
          <w:sz w:val="20"/>
          <w:szCs w:val="20"/>
          <w:shd w:val="clear" w:color="auto" w:fill="FFFFFF"/>
        </w:rPr>
        <w:t xml:space="preserve">McConnell, Virginia, and Margaret A. Walls. </w:t>
      </w:r>
      <w:r w:rsidRPr="00227F4B">
        <w:rPr>
          <w:rFonts w:ascii="Times New Roman" w:eastAsia="Calibri" w:hAnsi="Times New Roman" w:cs="Times New Roman"/>
          <w:i/>
          <w:iCs/>
          <w:color w:val="0070C0"/>
          <w:sz w:val="20"/>
          <w:szCs w:val="20"/>
          <w:shd w:val="clear" w:color="auto" w:fill="FFFFFF"/>
        </w:rPr>
        <w:t>The value of open space: Evidence from studies of nonmarket benefits</w:t>
      </w:r>
      <w:r w:rsidRPr="00227F4B">
        <w:rPr>
          <w:rFonts w:ascii="Times New Roman" w:eastAsia="Calibri" w:hAnsi="Times New Roman" w:cs="Times New Roman"/>
          <w:color w:val="0070C0"/>
          <w:sz w:val="20"/>
          <w:szCs w:val="20"/>
          <w:shd w:val="clear" w:color="auto" w:fill="FFFFFF"/>
        </w:rPr>
        <w:t xml:space="preserve">. Washington, DC: Resources for the Future, 2005.  </w:t>
      </w:r>
    </w:p>
    <w:p w:rsidR="00227F4B" w:rsidRPr="00227F4B" w:rsidRDefault="00227F4B" w:rsidP="00C62DA2">
      <w:pPr>
        <w:spacing w:before="60" w:after="0" w:line="240" w:lineRule="auto"/>
        <w:rPr>
          <w:rFonts w:ascii="Times New Roman" w:eastAsia="Calibri" w:hAnsi="Times New Roman" w:cs="Times New Roman"/>
          <w:color w:val="0070C0"/>
          <w:sz w:val="20"/>
          <w:szCs w:val="20"/>
          <w:lang w:val="en"/>
        </w:rPr>
      </w:pPr>
      <w:r w:rsidRPr="00227F4B">
        <w:rPr>
          <w:rFonts w:ascii="Times New Roman" w:eastAsia="Calibri" w:hAnsi="Times New Roman" w:cs="Times New Roman"/>
          <w:color w:val="0070C0"/>
          <w:sz w:val="20"/>
          <w:szCs w:val="20"/>
          <w:shd w:val="clear" w:color="auto" w:fill="FFFFFF"/>
        </w:rPr>
        <w:t>Mittal</w:t>
      </w:r>
      <w:r w:rsidRPr="00227F4B">
        <w:rPr>
          <w:rFonts w:ascii="Times New Roman" w:eastAsia="Calibri" w:hAnsi="Times New Roman" w:cs="Times New Roman"/>
          <w:color w:val="0070C0"/>
          <w:sz w:val="20"/>
          <w:szCs w:val="20"/>
          <w:lang w:val="en"/>
        </w:rPr>
        <w:t>, Jay. 2014. “Value Capitalization Effect of Protected Properties – A comparison of Conservation Easement with Mixed-Bag Open Spaces.” Journal of Sustainable Real Estate 6, No. 1 (2014): 23-46.</w:t>
      </w:r>
    </w:p>
    <w:p w:rsidR="00AE7B7E" w:rsidRDefault="00AE7B7E" w:rsidP="00AE7B7E">
      <w:pPr>
        <w:spacing w:line="360" w:lineRule="auto"/>
        <w:rPr>
          <w:rFonts w:ascii="Times New Roman" w:hAnsi="Times New Roman" w:cs="Times New Roman"/>
          <w:color w:val="0070C0"/>
        </w:rPr>
      </w:pPr>
    </w:p>
    <w:p w:rsidR="00AE7B7E" w:rsidRDefault="00AE7B7E" w:rsidP="00AE7B7E">
      <w:pPr>
        <w:spacing w:line="360" w:lineRule="auto"/>
        <w:rPr>
          <w:rFonts w:ascii="Times New Roman" w:hAnsi="Times New Roman" w:cs="Times New Roman"/>
          <w:color w:val="0070C0"/>
        </w:rPr>
      </w:pPr>
      <w:r>
        <w:rPr>
          <w:rFonts w:ascii="Times New Roman" w:hAnsi="Times New Roman" w:cs="Times New Roman"/>
          <w:color w:val="0070C0"/>
        </w:rPr>
        <w:t xml:space="preserve">Simons and </w:t>
      </w:r>
      <w:proofErr w:type="spellStart"/>
      <w:r>
        <w:rPr>
          <w:rFonts w:ascii="Times New Roman" w:hAnsi="Times New Roman" w:cs="Times New Roman"/>
          <w:color w:val="0070C0"/>
        </w:rPr>
        <w:t>Saginor</w:t>
      </w:r>
      <w:proofErr w:type="spellEnd"/>
      <w:r>
        <w:rPr>
          <w:rFonts w:ascii="Times New Roman" w:hAnsi="Times New Roman" w:cs="Times New Roman"/>
          <w:color w:val="0070C0"/>
        </w:rPr>
        <w:t xml:space="preserve"> 2006; </w:t>
      </w:r>
    </w:p>
    <w:p w:rsidR="00AB3B9C" w:rsidRPr="00B23980" w:rsidRDefault="00AB3B9C" w:rsidP="00BA12C0">
      <w:pPr>
        <w:spacing w:line="360" w:lineRule="auto"/>
        <w:rPr>
          <w:rFonts w:ascii="Times New Roman" w:eastAsia="Calibri" w:hAnsi="Times New Roman" w:cs="Times New Roman"/>
        </w:rPr>
      </w:pPr>
    </w:p>
    <w:p w:rsidR="00BA12C0" w:rsidRPr="00342F66" w:rsidRDefault="00BA12C0" w:rsidP="00BA12C0">
      <w:pPr>
        <w:spacing w:line="360" w:lineRule="auto"/>
        <w:rPr>
          <w:rFonts w:ascii="Times New Roman" w:eastAsia="Calibri" w:hAnsi="Times New Roman" w:cs="Times New Roman"/>
          <w:b/>
          <w:sz w:val="24"/>
          <w:szCs w:val="24"/>
        </w:rPr>
      </w:pPr>
    </w:p>
    <w:p w:rsidR="00DE1804" w:rsidRDefault="00DE1804" w:rsidP="0006024C">
      <w:pPr>
        <w:spacing w:line="360" w:lineRule="auto"/>
      </w:pPr>
    </w:p>
    <w:sectPr w:rsidR="00DE18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7F223C"/>
    <w:multiLevelType w:val="hybridMultilevel"/>
    <w:tmpl w:val="C0A02E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24C"/>
    <w:rsid w:val="0006024C"/>
    <w:rsid w:val="000B1EEB"/>
    <w:rsid w:val="000E65CE"/>
    <w:rsid w:val="00227F4B"/>
    <w:rsid w:val="002874A8"/>
    <w:rsid w:val="002E71E6"/>
    <w:rsid w:val="00311668"/>
    <w:rsid w:val="00334308"/>
    <w:rsid w:val="0036651B"/>
    <w:rsid w:val="0036764A"/>
    <w:rsid w:val="00384C4F"/>
    <w:rsid w:val="003B3743"/>
    <w:rsid w:val="003E7563"/>
    <w:rsid w:val="00403E77"/>
    <w:rsid w:val="00436817"/>
    <w:rsid w:val="0057773F"/>
    <w:rsid w:val="005E53B4"/>
    <w:rsid w:val="007204FF"/>
    <w:rsid w:val="008A5A98"/>
    <w:rsid w:val="008A7A67"/>
    <w:rsid w:val="008D5AE7"/>
    <w:rsid w:val="009A38BE"/>
    <w:rsid w:val="009C1341"/>
    <w:rsid w:val="00A60EF8"/>
    <w:rsid w:val="00AB3B9C"/>
    <w:rsid w:val="00AC3796"/>
    <w:rsid w:val="00AE7B7E"/>
    <w:rsid w:val="00B2297E"/>
    <w:rsid w:val="00B81BF9"/>
    <w:rsid w:val="00B90D8E"/>
    <w:rsid w:val="00B915EF"/>
    <w:rsid w:val="00BA12C0"/>
    <w:rsid w:val="00C06184"/>
    <w:rsid w:val="00C62DA2"/>
    <w:rsid w:val="00CF0F82"/>
    <w:rsid w:val="00CF482E"/>
    <w:rsid w:val="00DE1804"/>
    <w:rsid w:val="00E43DAA"/>
    <w:rsid w:val="00EA73B0"/>
    <w:rsid w:val="00EF6946"/>
    <w:rsid w:val="00F236A4"/>
    <w:rsid w:val="00FC1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8329AF-F64D-4DE8-BB91-1BB9606BE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F4B"/>
    <w:pPr>
      <w:spacing w:after="200" w:line="276" w:lineRule="auto"/>
      <w:ind w:left="720"/>
      <w:contextualSpacing/>
    </w:pPr>
  </w:style>
  <w:style w:type="character" w:customStyle="1" w:styleId="apple-converted-space">
    <w:name w:val="apple-converted-space"/>
    <w:basedOn w:val="DefaultParagraphFont"/>
    <w:rsid w:val="005E5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Mittal</dc:creator>
  <cp:keywords/>
  <dc:description/>
  <cp:lastModifiedBy>Jay Mittal</cp:lastModifiedBy>
  <cp:revision>4</cp:revision>
  <dcterms:created xsi:type="dcterms:W3CDTF">2015-10-26T17:55:00Z</dcterms:created>
  <dcterms:modified xsi:type="dcterms:W3CDTF">2015-10-26T17:59:00Z</dcterms:modified>
</cp:coreProperties>
</file>