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57" w:rsidRPr="00545BC4" w:rsidRDefault="00D22957" w:rsidP="00D22957">
      <w:pPr>
        <w:rPr>
          <w:rFonts w:ascii="Times New Roman" w:hAnsi="Times New Roman" w:cs="Times New Roman"/>
          <w:b/>
          <w:sz w:val="24"/>
          <w:szCs w:val="24"/>
        </w:rPr>
      </w:pPr>
      <w:r w:rsidRPr="00545BC4">
        <w:rPr>
          <w:rFonts w:ascii="Times New Roman" w:hAnsi="Times New Roman" w:cs="Times New Roman"/>
          <w:b/>
          <w:sz w:val="24"/>
          <w:szCs w:val="24"/>
        </w:rPr>
        <w:t>Room to manoeuver</w:t>
      </w:r>
      <w:r w:rsidRPr="00545BC4">
        <w:rPr>
          <w:rFonts w:ascii="Times New Roman" w:hAnsi="Times New Roman" w:cs="Times New Roman"/>
          <w:b/>
          <w:sz w:val="24"/>
          <w:szCs w:val="24"/>
          <w:vertAlign w:val="superscript"/>
        </w:rPr>
        <w:endnoteReference w:id="1"/>
      </w:r>
      <w:r w:rsidRPr="00545BC4">
        <w:rPr>
          <w:rFonts w:ascii="Times New Roman" w:hAnsi="Times New Roman" w:cs="Times New Roman"/>
          <w:b/>
          <w:sz w:val="24"/>
          <w:szCs w:val="24"/>
        </w:rPr>
        <w:t xml:space="preserve">, room to fight: low income access to land and housing in the shadow of the </w:t>
      </w:r>
      <w:r w:rsidR="007C2025">
        <w:rPr>
          <w:rFonts w:ascii="Times New Roman" w:hAnsi="Times New Roman" w:cs="Times New Roman"/>
          <w:b/>
          <w:sz w:val="24"/>
          <w:szCs w:val="24"/>
        </w:rPr>
        <w:t xml:space="preserve">Rio </w:t>
      </w:r>
      <w:r w:rsidRPr="00545BC4">
        <w:rPr>
          <w:rFonts w:ascii="Times New Roman" w:hAnsi="Times New Roman" w:cs="Times New Roman"/>
          <w:b/>
          <w:sz w:val="24"/>
          <w:szCs w:val="24"/>
        </w:rPr>
        <w:t xml:space="preserve">Olympics  </w:t>
      </w:r>
    </w:p>
    <w:p w:rsidR="00D22957" w:rsidRPr="00545BC4" w:rsidRDefault="00D22957" w:rsidP="00D22957">
      <w:pPr>
        <w:rPr>
          <w:rFonts w:ascii="Times New Roman" w:hAnsi="Times New Roman" w:cs="Times New Roman"/>
          <w:b/>
          <w:sz w:val="24"/>
          <w:szCs w:val="24"/>
          <w:lang w:val="en-US"/>
        </w:rPr>
      </w:pPr>
      <w:r w:rsidRPr="00545BC4">
        <w:rPr>
          <w:rFonts w:ascii="Times New Roman" w:hAnsi="Times New Roman" w:cs="Times New Roman"/>
          <w:b/>
          <w:sz w:val="24"/>
          <w:szCs w:val="24"/>
          <w:lang w:val="en-US"/>
        </w:rPr>
        <w:t xml:space="preserve">Abstract </w:t>
      </w:r>
      <w:bookmarkStart w:id="0" w:name="_GoBack"/>
      <w:bookmarkEnd w:id="0"/>
      <w:r w:rsidRPr="00545BC4">
        <w:rPr>
          <w:rFonts w:ascii="Times New Roman" w:hAnsi="Times New Roman" w:cs="Times New Roman"/>
          <w:b/>
          <w:sz w:val="24"/>
          <w:szCs w:val="24"/>
          <w:lang w:val="en-US"/>
        </w:rPr>
        <w:t>for IV World Planning Congress – Rio de Janeiro</w:t>
      </w:r>
    </w:p>
    <w:p w:rsidR="00D22957" w:rsidRPr="00545BC4" w:rsidRDefault="00D22957" w:rsidP="00D22957">
      <w:pPr>
        <w:rPr>
          <w:rFonts w:ascii="Times New Roman" w:hAnsi="Times New Roman" w:cs="Times New Roman"/>
          <w:b/>
          <w:sz w:val="24"/>
          <w:szCs w:val="24"/>
          <w:lang w:val="en-US"/>
        </w:rPr>
      </w:pPr>
      <w:r w:rsidRPr="00545BC4">
        <w:rPr>
          <w:rFonts w:ascii="Times New Roman" w:hAnsi="Times New Roman" w:cs="Times New Roman"/>
          <w:b/>
          <w:sz w:val="24"/>
          <w:szCs w:val="24"/>
          <w:lang w:val="en-US"/>
        </w:rPr>
        <w:t xml:space="preserve">Authors: </w:t>
      </w:r>
    </w:p>
    <w:p w:rsidR="00D22957" w:rsidRPr="00545BC4" w:rsidRDefault="00D22957" w:rsidP="00D22957">
      <w:pPr>
        <w:rPr>
          <w:rFonts w:ascii="Times New Roman" w:hAnsi="Times New Roman" w:cs="Times New Roman"/>
          <w:b/>
          <w:sz w:val="24"/>
          <w:szCs w:val="24"/>
          <w:lang w:val="en-US"/>
        </w:rPr>
      </w:pPr>
      <w:proofErr w:type="spellStart"/>
      <w:r w:rsidRPr="00545BC4">
        <w:rPr>
          <w:rFonts w:ascii="Times New Roman" w:hAnsi="Times New Roman" w:cs="Times New Roman"/>
          <w:b/>
          <w:sz w:val="24"/>
          <w:szCs w:val="24"/>
          <w:lang w:val="en-US"/>
        </w:rPr>
        <w:t>Ramin</w:t>
      </w:r>
      <w:proofErr w:type="spellEnd"/>
      <w:r w:rsidRPr="00545BC4">
        <w:rPr>
          <w:rFonts w:ascii="Times New Roman" w:hAnsi="Times New Roman" w:cs="Times New Roman"/>
          <w:b/>
          <w:sz w:val="24"/>
          <w:szCs w:val="24"/>
          <w:lang w:val="en-US"/>
        </w:rPr>
        <w:t xml:space="preserve"> </w:t>
      </w:r>
      <w:r w:rsidR="005C1646">
        <w:rPr>
          <w:rFonts w:ascii="Times New Roman" w:hAnsi="Times New Roman" w:cs="Times New Roman"/>
          <w:b/>
          <w:sz w:val="24"/>
          <w:szCs w:val="24"/>
          <w:lang w:val="en-US"/>
        </w:rPr>
        <w:t>M-</w:t>
      </w:r>
      <w:proofErr w:type="spellStart"/>
      <w:r w:rsidRPr="00545BC4">
        <w:rPr>
          <w:rFonts w:ascii="Times New Roman" w:hAnsi="Times New Roman" w:cs="Times New Roman"/>
          <w:b/>
          <w:sz w:val="24"/>
          <w:szCs w:val="24"/>
          <w:lang w:val="en-US"/>
        </w:rPr>
        <w:t>Keivani</w:t>
      </w:r>
      <w:proofErr w:type="spellEnd"/>
      <w:r w:rsidRPr="00545BC4">
        <w:rPr>
          <w:rFonts w:ascii="Times New Roman" w:hAnsi="Times New Roman" w:cs="Times New Roman"/>
          <w:b/>
          <w:sz w:val="24"/>
          <w:szCs w:val="24"/>
          <w:lang w:val="en-US"/>
        </w:rPr>
        <w:t xml:space="preserve"> (Professor of International Land Policy and Urban Development, School of the Built Environment, Oxford Brookes University)</w:t>
      </w:r>
    </w:p>
    <w:p w:rsidR="00D22957" w:rsidRPr="00545BC4" w:rsidRDefault="00D22957" w:rsidP="00D22957">
      <w:pPr>
        <w:rPr>
          <w:rFonts w:ascii="Times New Roman" w:hAnsi="Times New Roman" w:cs="Times New Roman"/>
          <w:b/>
          <w:sz w:val="24"/>
          <w:szCs w:val="24"/>
          <w:lang w:val="en-US"/>
        </w:rPr>
      </w:pPr>
      <w:r w:rsidRPr="00545BC4">
        <w:rPr>
          <w:rFonts w:ascii="Times New Roman" w:hAnsi="Times New Roman" w:cs="Times New Roman"/>
          <w:b/>
          <w:sz w:val="24"/>
          <w:szCs w:val="24"/>
          <w:lang w:val="en-US"/>
        </w:rPr>
        <w:t xml:space="preserve">Sue </w:t>
      </w:r>
      <w:proofErr w:type="spellStart"/>
      <w:r w:rsidRPr="00545BC4">
        <w:rPr>
          <w:rFonts w:ascii="Times New Roman" w:hAnsi="Times New Roman" w:cs="Times New Roman"/>
          <w:b/>
          <w:sz w:val="24"/>
          <w:szCs w:val="24"/>
          <w:lang w:val="en-US"/>
        </w:rPr>
        <w:t>Brownill</w:t>
      </w:r>
      <w:proofErr w:type="spellEnd"/>
      <w:r w:rsidRPr="00545BC4">
        <w:rPr>
          <w:rFonts w:ascii="Times New Roman" w:hAnsi="Times New Roman" w:cs="Times New Roman"/>
          <w:b/>
          <w:sz w:val="24"/>
          <w:szCs w:val="24"/>
          <w:lang w:val="en-US"/>
        </w:rPr>
        <w:t xml:space="preserve"> (Reader in Urban Policy and Governance, School of the Built Environment, Oxford Brookes University)</w:t>
      </w:r>
    </w:p>
    <w:p w:rsidR="00D22957" w:rsidRPr="00545BC4" w:rsidRDefault="00D22957" w:rsidP="00D22957">
      <w:pPr>
        <w:rPr>
          <w:rFonts w:ascii="Times New Roman" w:hAnsi="Times New Roman" w:cs="Times New Roman"/>
          <w:b/>
          <w:sz w:val="24"/>
          <w:szCs w:val="24"/>
          <w:lang w:val="en-US"/>
        </w:rPr>
      </w:pPr>
      <w:r w:rsidRPr="00545BC4">
        <w:rPr>
          <w:rFonts w:ascii="Times New Roman" w:hAnsi="Times New Roman" w:cs="Times New Roman"/>
          <w:b/>
          <w:sz w:val="24"/>
          <w:szCs w:val="24"/>
          <w:lang w:val="en-US"/>
        </w:rPr>
        <w:t xml:space="preserve">Erick S. </w:t>
      </w:r>
      <w:proofErr w:type="spellStart"/>
      <w:r w:rsidRPr="00545BC4">
        <w:rPr>
          <w:rFonts w:ascii="Times New Roman" w:hAnsi="Times New Roman" w:cs="Times New Roman"/>
          <w:b/>
          <w:sz w:val="24"/>
          <w:szCs w:val="24"/>
          <w:lang w:val="en-US"/>
        </w:rPr>
        <w:t>Omena</w:t>
      </w:r>
      <w:proofErr w:type="spellEnd"/>
      <w:r w:rsidRPr="00545BC4">
        <w:rPr>
          <w:rFonts w:ascii="Times New Roman" w:hAnsi="Times New Roman" w:cs="Times New Roman"/>
          <w:b/>
          <w:sz w:val="24"/>
          <w:szCs w:val="24"/>
          <w:lang w:val="en-US"/>
        </w:rPr>
        <w:t xml:space="preserve"> de </w:t>
      </w:r>
      <w:proofErr w:type="spellStart"/>
      <w:r w:rsidRPr="00545BC4">
        <w:rPr>
          <w:rFonts w:ascii="Times New Roman" w:hAnsi="Times New Roman" w:cs="Times New Roman"/>
          <w:b/>
          <w:sz w:val="24"/>
          <w:szCs w:val="24"/>
          <w:lang w:val="en-US"/>
        </w:rPr>
        <w:t>Melo</w:t>
      </w:r>
      <w:proofErr w:type="spellEnd"/>
      <w:r w:rsidRPr="00545BC4">
        <w:rPr>
          <w:rFonts w:ascii="Times New Roman" w:hAnsi="Times New Roman" w:cs="Times New Roman"/>
          <w:b/>
          <w:sz w:val="24"/>
          <w:szCs w:val="24"/>
          <w:lang w:val="en-US"/>
        </w:rPr>
        <w:t xml:space="preserve"> (PhD Researcher, School of the Built Environment, Oxford Brookes University).</w:t>
      </w:r>
    </w:p>
    <w:p w:rsidR="00876F5A" w:rsidRPr="00545BC4" w:rsidRDefault="00876F5A" w:rsidP="00876F5A">
      <w:pPr>
        <w:rPr>
          <w:rFonts w:ascii="Times New Roman" w:hAnsi="Times New Roman" w:cs="Times New Roman"/>
          <w:sz w:val="24"/>
          <w:szCs w:val="24"/>
          <w:lang w:val="en-US"/>
        </w:rPr>
      </w:pPr>
      <w:r w:rsidRPr="00545BC4">
        <w:rPr>
          <w:rFonts w:ascii="Times New Roman" w:hAnsi="Times New Roman" w:cs="Times New Roman"/>
          <w:sz w:val="24"/>
          <w:szCs w:val="24"/>
          <w:lang w:val="en-US"/>
        </w:rPr>
        <w:t xml:space="preserve">Neoliberal urban development often entails major conflicts between the requirements of capital and those of local citizens, particularly the low income population. This process is exaggerated in rapidly globalizing cities and even more so in hosting major events such as the football World Cup and the Olympics. Here it seems the political consensus for showcasing the city to the outside world and ensuring timely preparations sweeps all objections aside and dislocates many people from their homes in the process. </w:t>
      </w:r>
    </w:p>
    <w:p w:rsidR="006D2F75" w:rsidRPr="00545BC4" w:rsidRDefault="006D2F75" w:rsidP="006D2F75">
      <w:pPr>
        <w:rPr>
          <w:rFonts w:ascii="Times New Roman" w:hAnsi="Times New Roman" w:cs="Times New Roman"/>
          <w:bCs/>
          <w:sz w:val="24"/>
          <w:szCs w:val="24"/>
        </w:rPr>
      </w:pPr>
      <w:r w:rsidRPr="00545BC4">
        <w:rPr>
          <w:rFonts w:ascii="Times New Roman" w:hAnsi="Times New Roman" w:cs="Times New Roman"/>
          <w:bCs/>
          <w:sz w:val="24"/>
          <w:szCs w:val="24"/>
        </w:rPr>
        <w:t xml:space="preserve">During the past decade a number of authors have reflected on the transformation of the mode of state regulation and its impact on production of space in Brazil since the end of the military dictatorship in 1985. Accordingly we can note the shift from a ‘roll-back’ neo-liberal position in the 1990s to one of a ‘roll-out’ neo-liberal regime with developmental state tendencies in the 2000s to present (Klink, 2013; Klink and </w:t>
      </w:r>
      <w:proofErr w:type="spellStart"/>
      <w:r w:rsidRPr="00545BC4">
        <w:rPr>
          <w:rFonts w:ascii="Times New Roman" w:hAnsi="Times New Roman" w:cs="Times New Roman"/>
          <w:bCs/>
          <w:sz w:val="24"/>
          <w:szCs w:val="24"/>
        </w:rPr>
        <w:t>Denaldi</w:t>
      </w:r>
      <w:proofErr w:type="spellEnd"/>
      <w:r w:rsidRPr="00545BC4">
        <w:rPr>
          <w:rFonts w:ascii="Times New Roman" w:hAnsi="Times New Roman" w:cs="Times New Roman"/>
          <w:bCs/>
          <w:sz w:val="24"/>
          <w:szCs w:val="24"/>
        </w:rPr>
        <w:t xml:space="preserve">, 2015; </w:t>
      </w:r>
      <w:proofErr w:type="spellStart"/>
      <w:r w:rsidRPr="00545BC4">
        <w:rPr>
          <w:rFonts w:ascii="Times New Roman" w:hAnsi="Times New Roman" w:cs="Times New Roman"/>
          <w:bCs/>
          <w:sz w:val="24"/>
          <w:szCs w:val="24"/>
        </w:rPr>
        <w:t>Rolnik</w:t>
      </w:r>
      <w:proofErr w:type="spellEnd"/>
      <w:r w:rsidRPr="00545BC4">
        <w:rPr>
          <w:rFonts w:ascii="Times New Roman" w:hAnsi="Times New Roman" w:cs="Times New Roman"/>
          <w:bCs/>
          <w:sz w:val="24"/>
          <w:szCs w:val="24"/>
        </w:rPr>
        <w:t>, 2013).In terms of urban equity an initial response may be that in such a regulatory framework there is very little space for progressive action. However, the situation may be rather more complicated than a simple initial reading suggests. Indeed as some of its most ardent critics acknowledge, particularly in their ‘roll-out’ stage</w:t>
      </w:r>
      <w:r w:rsidR="007A6B3C" w:rsidRPr="00545BC4">
        <w:rPr>
          <w:rFonts w:ascii="Times New Roman" w:hAnsi="Times New Roman" w:cs="Times New Roman"/>
          <w:bCs/>
          <w:sz w:val="24"/>
          <w:szCs w:val="24"/>
        </w:rPr>
        <w:t xml:space="preserve"> and partly in response to persistent market failures</w:t>
      </w:r>
      <w:r w:rsidRPr="00545BC4">
        <w:rPr>
          <w:rFonts w:ascii="Times New Roman" w:hAnsi="Times New Roman" w:cs="Times New Roman"/>
          <w:bCs/>
          <w:sz w:val="24"/>
          <w:szCs w:val="24"/>
        </w:rPr>
        <w:t>, neo-liberal regimes have provided a remarkable capacity for learning, adaptability and evolution involving a range of local institutional reforms</w:t>
      </w:r>
      <w:r w:rsidR="007A6B3C" w:rsidRPr="00545BC4">
        <w:rPr>
          <w:rFonts w:ascii="Times New Roman" w:hAnsi="Times New Roman" w:cs="Times New Roman"/>
          <w:bCs/>
          <w:sz w:val="24"/>
          <w:szCs w:val="24"/>
        </w:rPr>
        <w:t xml:space="preserve"> including for </w:t>
      </w:r>
      <w:proofErr w:type="gramStart"/>
      <w:r w:rsidR="007A6B3C" w:rsidRPr="00545BC4">
        <w:rPr>
          <w:rFonts w:ascii="Times New Roman" w:hAnsi="Times New Roman" w:cs="Times New Roman"/>
          <w:bCs/>
          <w:sz w:val="24"/>
          <w:szCs w:val="24"/>
        </w:rPr>
        <w:t xml:space="preserve">example </w:t>
      </w:r>
      <w:r w:rsidRPr="00545BC4">
        <w:rPr>
          <w:rFonts w:ascii="Times New Roman" w:hAnsi="Times New Roman" w:cs="Times New Roman"/>
          <w:bCs/>
          <w:sz w:val="24"/>
          <w:szCs w:val="24"/>
        </w:rPr>
        <w:t xml:space="preserve"> </w:t>
      </w:r>
      <w:r w:rsidR="007A6B3C" w:rsidRPr="00545BC4">
        <w:rPr>
          <w:rFonts w:ascii="Times New Roman" w:hAnsi="Times New Roman" w:cs="Times New Roman"/>
          <w:bCs/>
          <w:sz w:val="24"/>
          <w:szCs w:val="24"/>
        </w:rPr>
        <w:t>partial</w:t>
      </w:r>
      <w:proofErr w:type="gramEnd"/>
      <w:r w:rsidR="007A6B3C" w:rsidRPr="00545BC4">
        <w:rPr>
          <w:rFonts w:ascii="Times New Roman" w:hAnsi="Times New Roman" w:cs="Times New Roman"/>
          <w:bCs/>
          <w:sz w:val="24"/>
          <w:szCs w:val="24"/>
        </w:rPr>
        <w:t xml:space="preserve"> inclusion of social capital approaches</w:t>
      </w:r>
      <w:r w:rsidRPr="00545BC4">
        <w:rPr>
          <w:rFonts w:ascii="Times New Roman" w:hAnsi="Times New Roman" w:cs="Times New Roman"/>
          <w:bCs/>
          <w:sz w:val="24"/>
          <w:szCs w:val="24"/>
        </w:rPr>
        <w:t>(</w:t>
      </w:r>
      <w:r w:rsidR="007A6B3C" w:rsidRPr="00545BC4">
        <w:rPr>
          <w:rFonts w:ascii="Times New Roman" w:hAnsi="Times New Roman" w:cs="Times New Roman"/>
          <w:bCs/>
          <w:sz w:val="24"/>
          <w:szCs w:val="24"/>
        </w:rPr>
        <w:t xml:space="preserve">Brenner and Theodore, 2002). </w:t>
      </w:r>
      <w:r w:rsidRPr="00545BC4">
        <w:rPr>
          <w:rFonts w:ascii="Times New Roman" w:hAnsi="Times New Roman" w:cs="Times New Roman"/>
          <w:bCs/>
          <w:sz w:val="24"/>
          <w:szCs w:val="24"/>
        </w:rPr>
        <w:t xml:space="preserve"> What is important for us here is the contextual specificity and path dependency of the outcomes and also the space for application of politics (particularly in terms of urban governance) and local action that can lead to progressive and path-transforming change (Peck, 2010; Peck and Tickell, 2002).  </w:t>
      </w:r>
    </w:p>
    <w:p w:rsidR="006D2F75" w:rsidRPr="00545BC4" w:rsidRDefault="006D2F75" w:rsidP="006D2F75">
      <w:pPr>
        <w:rPr>
          <w:rFonts w:ascii="Times New Roman" w:hAnsi="Times New Roman" w:cs="Times New Roman"/>
          <w:bCs/>
          <w:sz w:val="24"/>
          <w:szCs w:val="24"/>
        </w:rPr>
      </w:pPr>
      <w:r w:rsidRPr="00545BC4">
        <w:rPr>
          <w:rFonts w:ascii="Times New Roman" w:hAnsi="Times New Roman" w:cs="Times New Roman"/>
          <w:bCs/>
          <w:sz w:val="24"/>
          <w:szCs w:val="24"/>
        </w:rPr>
        <w:t xml:space="preserve">In the context of Brazil we can note extensive re-regulation of state spatial policies, innovative and participatory governance mechanisms and social programmes and institutional development particularly aimed at ameliorating social inequalities including that of low income housing provision and increasing the social function of land and property. Nevertheless, </w:t>
      </w:r>
      <w:proofErr w:type="spellStart"/>
      <w:r w:rsidRPr="00545BC4">
        <w:rPr>
          <w:rFonts w:ascii="Times New Roman" w:hAnsi="Times New Roman" w:cs="Times New Roman"/>
          <w:bCs/>
          <w:sz w:val="24"/>
          <w:szCs w:val="24"/>
        </w:rPr>
        <w:t>Denaldi</w:t>
      </w:r>
      <w:proofErr w:type="spellEnd"/>
      <w:r w:rsidRPr="00545BC4">
        <w:rPr>
          <w:rFonts w:ascii="Times New Roman" w:hAnsi="Times New Roman" w:cs="Times New Roman"/>
          <w:bCs/>
          <w:sz w:val="24"/>
          <w:szCs w:val="24"/>
        </w:rPr>
        <w:t xml:space="preserve"> (2013) and Klink and </w:t>
      </w:r>
      <w:proofErr w:type="spellStart"/>
      <w:r w:rsidRPr="00545BC4">
        <w:rPr>
          <w:rFonts w:ascii="Times New Roman" w:hAnsi="Times New Roman" w:cs="Times New Roman"/>
          <w:bCs/>
          <w:sz w:val="24"/>
          <w:szCs w:val="24"/>
        </w:rPr>
        <w:t>Denaldi</w:t>
      </w:r>
      <w:proofErr w:type="spellEnd"/>
      <w:r w:rsidRPr="00545BC4">
        <w:rPr>
          <w:rFonts w:ascii="Times New Roman" w:hAnsi="Times New Roman" w:cs="Times New Roman"/>
          <w:bCs/>
          <w:sz w:val="24"/>
          <w:szCs w:val="24"/>
        </w:rPr>
        <w:t xml:space="preserve"> (2014) have pointed to the contradictory application of these (housing related) programmes (e.g., </w:t>
      </w:r>
      <w:proofErr w:type="spellStart"/>
      <w:r w:rsidRPr="00545BC4">
        <w:rPr>
          <w:rFonts w:ascii="Times New Roman" w:hAnsi="Times New Roman" w:cs="Times New Roman"/>
          <w:bCs/>
          <w:sz w:val="24"/>
          <w:szCs w:val="24"/>
        </w:rPr>
        <w:t>Minha</w:t>
      </w:r>
      <w:proofErr w:type="spellEnd"/>
      <w:r w:rsidRPr="00545BC4">
        <w:rPr>
          <w:rFonts w:ascii="Times New Roman" w:hAnsi="Times New Roman" w:cs="Times New Roman"/>
          <w:bCs/>
          <w:sz w:val="24"/>
          <w:szCs w:val="24"/>
        </w:rPr>
        <w:t xml:space="preserve"> Casa, </w:t>
      </w:r>
      <w:proofErr w:type="spellStart"/>
      <w:r w:rsidRPr="00545BC4">
        <w:rPr>
          <w:rFonts w:ascii="Times New Roman" w:hAnsi="Times New Roman" w:cs="Times New Roman"/>
          <w:bCs/>
          <w:sz w:val="24"/>
          <w:szCs w:val="24"/>
        </w:rPr>
        <w:t>Minha</w:t>
      </w:r>
      <w:proofErr w:type="spellEnd"/>
      <w:r w:rsidRPr="00545BC4">
        <w:rPr>
          <w:rFonts w:ascii="Times New Roman" w:hAnsi="Times New Roman" w:cs="Times New Roman"/>
          <w:bCs/>
          <w:sz w:val="24"/>
          <w:szCs w:val="24"/>
        </w:rPr>
        <w:t xml:space="preserve"> Vida (MCMV)) including lack of sufficient attention to the needs of the lowest income groups in terms of both quantity and quality (particularly isolated and peripheral locations) and lack of sufficient </w:t>
      </w:r>
      <w:r w:rsidRPr="00545BC4">
        <w:rPr>
          <w:rFonts w:ascii="Times New Roman" w:hAnsi="Times New Roman" w:cs="Times New Roman"/>
          <w:bCs/>
          <w:sz w:val="24"/>
          <w:szCs w:val="24"/>
        </w:rPr>
        <w:lastRenderedPageBreak/>
        <w:t xml:space="preserve">leverage on the real estate markets. </w:t>
      </w:r>
      <w:proofErr w:type="spellStart"/>
      <w:r w:rsidRPr="00545BC4">
        <w:rPr>
          <w:rFonts w:ascii="Times New Roman" w:hAnsi="Times New Roman" w:cs="Times New Roman"/>
          <w:bCs/>
          <w:sz w:val="24"/>
          <w:szCs w:val="24"/>
        </w:rPr>
        <w:t>Rolnik</w:t>
      </w:r>
      <w:proofErr w:type="spellEnd"/>
      <w:r w:rsidRPr="00545BC4">
        <w:rPr>
          <w:rFonts w:ascii="Times New Roman" w:hAnsi="Times New Roman" w:cs="Times New Roman"/>
          <w:bCs/>
          <w:sz w:val="24"/>
          <w:szCs w:val="24"/>
        </w:rPr>
        <w:t xml:space="preserve"> (2013) also argues that in spite of major social achievements during the past decade or so; the political and economic realities of global integration and the drive for creating public private partnerships with major corporations for funding large scale infrastructure and development projects (including the sport mega events) has reinforced the old elite decision making system and hollowed out the democratic and participatory institutions that were created in the 1990s. Following similar sentiments de Souza (2012) notes the ambivalent nature of Brazil’s progressive institutions in that they can also be seen as instruments of social control and governmentality. </w:t>
      </w:r>
    </w:p>
    <w:p w:rsidR="00876F5A" w:rsidRPr="00545BC4" w:rsidRDefault="006D2F75" w:rsidP="006D2F75">
      <w:pPr>
        <w:rPr>
          <w:rFonts w:ascii="Times New Roman" w:hAnsi="Times New Roman" w:cs="Times New Roman"/>
          <w:bCs/>
          <w:sz w:val="24"/>
          <w:szCs w:val="24"/>
        </w:rPr>
      </w:pPr>
      <w:r w:rsidRPr="00545BC4">
        <w:rPr>
          <w:rFonts w:ascii="Times New Roman" w:hAnsi="Times New Roman" w:cs="Times New Roman"/>
          <w:bCs/>
          <w:sz w:val="24"/>
          <w:szCs w:val="24"/>
        </w:rPr>
        <w:t xml:space="preserve">These criticisms, however valid, do not negate the potential for positive action at the local level particularly in view of the dynamic political scene that has seemingly received a major boost as a result of the emergence of the urban protest movement since June 2013. From a developmental perspective the art is in identifying the opportunities for progressive action and expand them, however limited they may seem.  The question then is how have these changes impacted on informal settlements and what scope do they provide (or not as the case may be) for consolidating low income rights to own, use and exchange their land and property? </w:t>
      </w:r>
    </w:p>
    <w:p w:rsidR="00BE7809" w:rsidRPr="00545BC4" w:rsidRDefault="00BE7809" w:rsidP="00BE7809">
      <w:pPr>
        <w:rPr>
          <w:rFonts w:ascii="Times New Roman" w:hAnsi="Times New Roman" w:cs="Times New Roman"/>
          <w:sz w:val="24"/>
          <w:szCs w:val="24"/>
          <w:lang w:val="en-US"/>
        </w:rPr>
      </w:pPr>
      <w:r w:rsidRPr="00545BC4">
        <w:rPr>
          <w:rFonts w:ascii="Times New Roman" w:hAnsi="Times New Roman" w:cs="Times New Roman"/>
          <w:sz w:val="24"/>
          <w:szCs w:val="24"/>
        </w:rPr>
        <w:t xml:space="preserve">Utilising </w:t>
      </w:r>
      <w:r w:rsidR="00BA3858">
        <w:rPr>
          <w:rFonts w:ascii="Times New Roman" w:hAnsi="Times New Roman" w:cs="Times New Roman"/>
          <w:sz w:val="24"/>
          <w:szCs w:val="24"/>
        </w:rPr>
        <w:t>in</w:t>
      </w:r>
      <w:r w:rsidR="003E3A85">
        <w:rPr>
          <w:rFonts w:ascii="Times New Roman" w:hAnsi="Times New Roman" w:cs="Times New Roman"/>
          <w:sz w:val="24"/>
          <w:szCs w:val="24"/>
        </w:rPr>
        <w:t xml:space="preserve"> depth</w:t>
      </w:r>
      <w:r w:rsidR="00BA3858">
        <w:rPr>
          <w:rFonts w:ascii="Times New Roman" w:hAnsi="Times New Roman" w:cs="Times New Roman"/>
          <w:sz w:val="24"/>
          <w:szCs w:val="24"/>
        </w:rPr>
        <w:t xml:space="preserve"> field</w:t>
      </w:r>
      <w:r w:rsidR="003E3A85">
        <w:rPr>
          <w:rFonts w:ascii="Times New Roman" w:hAnsi="Times New Roman" w:cs="Times New Roman"/>
          <w:sz w:val="24"/>
          <w:szCs w:val="24"/>
        </w:rPr>
        <w:t xml:space="preserve"> interviews with a range of stakeholders</w:t>
      </w:r>
      <w:r w:rsidR="00B02E60">
        <w:rPr>
          <w:rFonts w:ascii="Times New Roman" w:hAnsi="Times New Roman" w:cs="Times New Roman"/>
          <w:sz w:val="24"/>
          <w:szCs w:val="24"/>
        </w:rPr>
        <w:t xml:space="preserve"> and secondary analysis </w:t>
      </w:r>
      <w:r w:rsidR="00BA3858" w:rsidRPr="00BA3858">
        <w:rPr>
          <w:rFonts w:ascii="Times New Roman" w:hAnsi="Times New Roman" w:cs="Times New Roman"/>
          <w:sz w:val="24"/>
          <w:szCs w:val="24"/>
        </w:rPr>
        <w:t xml:space="preserve">from a number case studies </w:t>
      </w:r>
      <w:r w:rsidR="00B02E60">
        <w:rPr>
          <w:rFonts w:ascii="Times New Roman" w:hAnsi="Times New Roman" w:cs="Times New Roman"/>
          <w:sz w:val="24"/>
          <w:szCs w:val="24"/>
        </w:rPr>
        <w:t xml:space="preserve">including informal communities of Vila </w:t>
      </w:r>
      <w:proofErr w:type="spellStart"/>
      <w:r w:rsidR="00B02E60">
        <w:rPr>
          <w:rFonts w:ascii="Times New Roman" w:hAnsi="Times New Roman" w:cs="Times New Roman"/>
          <w:sz w:val="24"/>
          <w:szCs w:val="24"/>
        </w:rPr>
        <w:t>Autodromo</w:t>
      </w:r>
      <w:proofErr w:type="spellEnd"/>
      <w:r w:rsidR="00B02E60">
        <w:rPr>
          <w:rFonts w:ascii="Times New Roman" w:hAnsi="Times New Roman" w:cs="Times New Roman"/>
          <w:sz w:val="24"/>
          <w:szCs w:val="24"/>
        </w:rPr>
        <w:t xml:space="preserve"> and Providencia</w:t>
      </w:r>
      <w:r w:rsidRPr="00545BC4">
        <w:rPr>
          <w:rFonts w:ascii="Times New Roman" w:hAnsi="Times New Roman" w:cs="Times New Roman"/>
          <w:sz w:val="24"/>
          <w:szCs w:val="24"/>
        </w:rPr>
        <w:t xml:space="preserve"> we </w:t>
      </w:r>
      <w:r w:rsidR="00B02E60">
        <w:rPr>
          <w:rFonts w:ascii="Times New Roman" w:hAnsi="Times New Roman" w:cs="Times New Roman"/>
          <w:sz w:val="24"/>
          <w:szCs w:val="24"/>
        </w:rPr>
        <w:t>will be examining the possibilities for progressive institutions and action at the local level</w:t>
      </w:r>
      <w:r w:rsidR="00265E17">
        <w:rPr>
          <w:rFonts w:ascii="Times New Roman" w:hAnsi="Times New Roman" w:cs="Times New Roman"/>
          <w:sz w:val="24"/>
          <w:szCs w:val="24"/>
        </w:rPr>
        <w:t xml:space="preserve"> particularly for fighting eviction and recognising people’s rights to the land that they occupy</w:t>
      </w:r>
      <w:r w:rsidR="00B02E60">
        <w:rPr>
          <w:rFonts w:ascii="Times New Roman" w:hAnsi="Times New Roman" w:cs="Times New Roman"/>
          <w:sz w:val="24"/>
          <w:szCs w:val="24"/>
        </w:rPr>
        <w:t xml:space="preserve">. We </w:t>
      </w:r>
      <w:r w:rsidRPr="00545BC4">
        <w:rPr>
          <w:rFonts w:ascii="Times New Roman" w:hAnsi="Times New Roman" w:cs="Times New Roman"/>
          <w:sz w:val="24"/>
          <w:szCs w:val="24"/>
        </w:rPr>
        <w:t xml:space="preserve">argue that </w:t>
      </w:r>
      <w:r w:rsidR="00B02E60">
        <w:rPr>
          <w:rFonts w:ascii="Times New Roman" w:hAnsi="Times New Roman" w:cs="Times New Roman"/>
          <w:sz w:val="24"/>
          <w:szCs w:val="24"/>
          <w:lang w:val="en-US"/>
        </w:rPr>
        <w:t>institutional reforms of the past 20 years have</w:t>
      </w:r>
      <w:r w:rsidRPr="00545BC4">
        <w:rPr>
          <w:rFonts w:ascii="Times New Roman" w:hAnsi="Times New Roman" w:cs="Times New Roman"/>
          <w:sz w:val="24"/>
          <w:szCs w:val="24"/>
          <w:lang w:val="en-US"/>
        </w:rPr>
        <w:t xml:space="preserve"> indeed created the basis for progressive intervention at the local level. However, structural limitations on implementation of these institutions have made them largely subject to fortune of local political conditions and led to patchy and limited results. Nevertheless, Rio’s experience </w:t>
      </w:r>
      <w:r w:rsidR="004B4116">
        <w:rPr>
          <w:rFonts w:ascii="Times New Roman" w:hAnsi="Times New Roman" w:cs="Times New Roman"/>
          <w:sz w:val="24"/>
          <w:szCs w:val="24"/>
          <w:lang w:val="en-US"/>
        </w:rPr>
        <w:t>also points to the need for</w:t>
      </w:r>
      <w:r w:rsidR="004B4116" w:rsidRPr="004B4116">
        <w:rPr>
          <w:rFonts w:ascii="Times New Roman" w:hAnsi="Times New Roman" w:cs="Times New Roman"/>
          <w:sz w:val="24"/>
          <w:szCs w:val="24"/>
          <w:lang w:val="en-US"/>
        </w:rPr>
        <w:t xml:space="preserve"> a more pluralist and pragmatic perspective</w:t>
      </w:r>
      <w:r w:rsidR="004B4116">
        <w:rPr>
          <w:rFonts w:ascii="Times New Roman" w:hAnsi="Times New Roman" w:cs="Times New Roman"/>
          <w:sz w:val="24"/>
          <w:szCs w:val="24"/>
          <w:lang w:val="en-US"/>
        </w:rPr>
        <w:t xml:space="preserve"> since they have defined a baseline in support of community rights and participation at the local level</w:t>
      </w:r>
      <w:r w:rsidR="004B4116" w:rsidRPr="004B4116">
        <w:rPr>
          <w:rFonts w:ascii="Times New Roman" w:hAnsi="Times New Roman" w:cs="Times New Roman"/>
          <w:sz w:val="24"/>
          <w:szCs w:val="24"/>
          <w:lang w:val="en-US"/>
        </w:rPr>
        <w:t>.</w:t>
      </w:r>
      <w:r w:rsidR="004B4116">
        <w:rPr>
          <w:rFonts w:ascii="Times New Roman" w:hAnsi="Times New Roman" w:cs="Times New Roman"/>
          <w:sz w:val="24"/>
          <w:szCs w:val="24"/>
          <w:lang w:val="en-US"/>
        </w:rPr>
        <w:t xml:space="preserve"> </w:t>
      </w:r>
      <w:r w:rsidR="008F6197">
        <w:rPr>
          <w:rFonts w:ascii="Times New Roman" w:hAnsi="Times New Roman" w:cs="Times New Roman"/>
          <w:sz w:val="24"/>
          <w:szCs w:val="24"/>
          <w:lang w:val="en-US"/>
        </w:rPr>
        <w:t>Consequently</w:t>
      </w:r>
      <w:r w:rsidR="00FB4970">
        <w:rPr>
          <w:rFonts w:ascii="Times New Roman" w:hAnsi="Times New Roman" w:cs="Times New Roman"/>
          <w:sz w:val="24"/>
          <w:szCs w:val="24"/>
          <w:lang w:val="en-US"/>
        </w:rPr>
        <w:t xml:space="preserve"> they have facilitated </w:t>
      </w:r>
      <w:r w:rsidRPr="00545BC4">
        <w:rPr>
          <w:rFonts w:ascii="Times New Roman" w:hAnsi="Times New Roman" w:cs="Times New Roman"/>
          <w:sz w:val="24"/>
          <w:szCs w:val="24"/>
          <w:lang w:val="en-US"/>
        </w:rPr>
        <w:t>local political and organizational mobilization across a range of progressive change agents that at minimum has allowed legal challenges and at best internationalized the resistance to evictions of major events and created new opportunities for identifying and expanding the action space for progressive intervention in a hostile political environment.</w:t>
      </w:r>
      <w:r w:rsidR="004B4116">
        <w:rPr>
          <w:rFonts w:ascii="Times New Roman" w:hAnsi="Times New Roman" w:cs="Times New Roman"/>
          <w:sz w:val="24"/>
          <w:szCs w:val="24"/>
          <w:lang w:val="en-US"/>
        </w:rPr>
        <w:t xml:space="preserve"> </w:t>
      </w:r>
    </w:p>
    <w:sectPr w:rsidR="00BE7809" w:rsidRPr="00545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C8" w:rsidRDefault="00EC14C8" w:rsidP="00EC14C8">
      <w:pPr>
        <w:spacing w:after="0" w:line="240" w:lineRule="auto"/>
      </w:pPr>
      <w:r>
        <w:separator/>
      </w:r>
    </w:p>
  </w:endnote>
  <w:endnote w:type="continuationSeparator" w:id="0">
    <w:p w:rsidR="00EC14C8" w:rsidRDefault="00EC14C8" w:rsidP="00EC14C8">
      <w:pPr>
        <w:spacing w:after="0" w:line="240" w:lineRule="auto"/>
      </w:pPr>
      <w:r>
        <w:continuationSeparator/>
      </w:r>
    </w:p>
  </w:endnote>
  <w:endnote w:id="1">
    <w:p w:rsidR="00D22957" w:rsidRDefault="00D22957" w:rsidP="00D22957">
      <w:pPr>
        <w:pStyle w:val="EndnoteText"/>
        <w:rPr>
          <w:lang w:val="en-GB"/>
        </w:rPr>
      </w:pPr>
      <w:r>
        <w:rPr>
          <w:rStyle w:val="EndnoteReference"/>
        </w:rPr>
        <w:endnoteRef/>
      </w:r>
      <w:r>
        <w:t xml:space="preserve"> </w:t>
      </w:r>
      <w:proofErr w:type="gramStart"/>
      <w:r w:rsidR="00F42AA4">
        <w:rPr>
          <w:lang w:val="en-GB"/>
        </w:rPr>
        <w:t xml:space="preserve">Adapted from Michael </w:t>
      </w:r>
      <w:proofErr w:type="spellStart"/>
      <w:r w:rsidR="00F42AA4">
        <w:rPr>
          <w:lang w:val="en-GB"/>
        </w:rPr>
        <w:t>Safier</w:t>
      </w:r>
      <w:proofErr w:type="spellEnd"/>
      <w:r w:rsidR="008B769A">
        <w:rPr>
          <w:lang w:val="en-GB"/>
        </w:rPr>
        <w:t>,</w:t>
      </w:r>
      <w:r w:rsidR="00F42AA4">
        <w:rPr>
          <w:lang w:val="en-GB"/>
        </w:rPr>
        <w:t xml:space="preserve"> undated.</w:t>
      </w:r>
      <w:proofErr w:type="gramEnd"/>
    </w:p>
    <w:p w:rsidR="00876F5A" w:rsidRDefault="00876F5A" w:rsidP="00D22957">
      <w:pPr>
        <w:pStyle w:val="EndnoteText"/>
        <w:rPr>
          <w:lang w:val="en-GB"/>
        </w:rPr>
      </w:pPr>
    </w:p>
    <w:p w:rsidR="00876F5A" w:rsidRDefault="00876F5A" w:rsidP="00D22957">
      <w:pPr>
        <w:pStyle w:val="EndnoteText"/>
        <w:rPr>
          <w:b/>
          <w:sz w:val="24"/>
          <w:szCs w:val="24"/>
          <w:lang w:val="en-GB"/>
        </w:rPr>
      </w:pPr>
      <w:r w:rsidRPr="005A64F0">
        <w:rPr>
          <w:b/>
          <w:sz w:val="24"/>
          <w:szCs w:val="24"/>
          <w:lang w:val="en-GB"/>
        </w:rPr>
        <w:t>Bibliography</w:t>
      </w:r>
    </w:p>
    <w:p w:rsidR="005A64F0" w:rsidRDefault="005A64F0" w:rsidP="00D22957">
      <w:pPr>
        <w:pStyle w:val="EndnoteText"/>
        <w:rPr>
          <w:sz w:val="24"/>
          <w:szCs w:val="24"/>
          <w:lang w:val="en-GB"/>
        </w:rPr>
      </w:pPr>
    </w:p>
    <w:p w:rsidR="005A64F0" w:rsidRPr="005A64F0" w:rsidRDefault="005A64F0" w:rsidP="005A64F0">
      <w:pPr>
        <w:pStyle w:val="EndnoteText"/>
        <w:rPr>
          <w:sz w:val="24"/>
          <w:szCs w:val="24"/>
          <w:lang w:val="en-GB"/>
        </w:rPr>
      </w:pPr>
      <w:r w:rsidRPr="005A64F0">
        <w:rPr>
          <w:sz w:val="24"/>
          <w:szCs w:val="24"/>
          <w:lang w:val="en-GB"/>
        </w:rPr>
        <w:t xml:space="preserve">De Souza, M.L. (2012) </w:t>
      </w:r>
      <w:proofErr w:type="spellStart"/>
      <w:r w:rsidRPr="005A64F0">
        <w:rPr>
          <w:sz w:val="24"/>
          <w:szCs w:val="24"/>
          <w:lang w:val="en-GB"/>
        </w:rPr>
        <w:t>Panem</w:t>
      </w:r>
      <w:proofErr w:type="spellEnd"/>
      <w:r w:rsidRPr="005A64F0">
        <w:rPr>
          <w:sz w:val="24"/>
          <w:szCs w:val="24"/>
          <w:lang w:val="en-GB"/>
        </w:rPr>
        <w:t xml:space="preserve"> </w:t>
      </w:r>
      <w:proofErr w:type="gramStart"/>
      <w:r w:rsidRPr="005A64F0">
        <w:rPr>
          <w:sz w:val="24"/>
          <w:szCs w:val="24"/>
          <w:lang w:val="en-GB"/>
        </w:rPr>
        <w:t>et</w:t>
      </w:r>
      <w:proofErr w:type="gramEnd"/>
      <w:r w:rsidRPr="005A64F0">
        <w:rPr>
          <w:sz w:val="24"/>
          <w:szCs w:val="24"/>
          <w:lang w:val="en-GB"/>
        </w:rPr>
        <w:t xml:space="preserve"> </w:t>
      </w:r>
      <w:proofErr w:type="spellStart"/>
      <w:r w:rsidRPr="005A64F0">
        <w:rPr>
          <w:sz w:val="24"/>
          <w:szCs w:val="24"/>
          <w:lang w:val="en-GB"/>
        </w:rPr>
        <w:t>circenses</w:t>
      </w:r>
      <w:proofErr w:type="spellEnd"/>
      <w:r w:rsidRPr="005A64F0">
        <w:rPr>
          <w:sz w:val="24"/>
          <w:szCs w:val="24"/>
          <w:lang w:val="en-GB"/>
        </w:rPr>
        <w:t xml:space="preserve"> versus the right to the city (centre) in </w:t>
      </w:r>
      <w:smartTag w:uri="urn:schemas-microsoft-com:office:smarttags" w:element="City">
        <w:smartTag w:uri="urn:schemas-microsoft-com:office:smarttags" w:element="place">
          <w:r w:rsidRPr="005A64F0">
            <w:rPr>
              <w:sz w:val="24"/>
              <w:szCs w:val="24"/>
              <w:lang w:val="en-GB"/>
            </w:rPr>
            <w:t>Rio de Janeiro</w:t>
          </w:r>
        </w:smartTag>
      </w:smartTag>
      <w:r w:rsidRPr="005A64F0">
        <w:rPr>
          <w:sz w:val="24"/>
          <w:szCs w:val="24"/>
          <w:lang w:val="en-GB"/>
        </w:rPr>
        <w:t>: A short report, City: analysis of urban trends, culture, theory, policy, action, 16(5), pp 563-572.</w:t>
      </w:r>
    </w:p>
    <w:p w:rsidR="005A64F0" w:rsidRDefault="005A64F0" w:rsidP="005A64F0">
      <w:pPr>
        <w:pStyle w:val="EndnoteText"/>
        <w:rPr>
          <w:sz w:val="24"/>
          <w:szCs w:val="24"/>
        </w:rPr>
      </w:pPr>
    </w:p>
    <w:p w:rsidR="005A64F0" w:rsidRPr="005A64F0" w:rsidRDefault="005A64F0" w:rsidP="005A64F0">
      <w:pPr>
        <w:pStyle w:val="EndnoteText"/>
        <w:rPr>
          <w:sz w:val="24"/>
          <w:szCs w:val="24"/>
        </w:rPr>
      </w:pPr>
      <w:proofErr w:type="spellStart"/>
      <w:r w:rsidRPr="005A64F0">
        <w:rPr>
          <w:sz w:val="24"/>
          <w:szCs w:val="24"/>
        </w:rPr>
        <w:t>Denaldi</w:t>
      </w:r>
      <w:proofErr w:type="spellEnd"/>
      <w:r w:rsidRPr="005A64F0">
        <w:rPr>
          <w:sz w:val="24"/>
          <w:szCs w:val="24"/>
        </w:rPr>
        <w:t xml:space="preserve">, R. (2013) Trapped by the land? </w:t>
      </w:r>
      <w:proofErr w:type="gramStart"/>
      <w:r w:rsidRPr="005A64F0">
        <w:rPr>
          <w:sz w:val="24"/>
          <w:szCs w:val="24"/>
        </w:rPr>
        <w:t xml:space="preserve">Change and continuity in the </w:t>
      </w:r>
      <w:proofErr w:type="spellStart"/>
      <w:r w:rsidRPr="005A64F0">
        <w:rPr>
          <w:sz w:val="24"/>
          <w:szCs w:val="24"/>
        </w:rPr>
        <w:t>provisioon</w:t>
      </w:r>
      <w:proofErr w:type="spellEnd"/>
      <w:r w:rsidRPr="005A64F0">
        <w:rPr>
          <w:sz w:val="24"/>
          <w:szCs w:val="24"/>
        </w:rPr>
        <w:t xml:space="preserve"> of social housing in Brazil, </w:t>
      </w:r>
      <w:r w:rsidRPr="005A64F0">
        <w:rPr>
          <w:i/>
          <w:sz w:val="24"/>
          <w:szCs w:val="24"/>
        </w:rPr>
        <w:t>International Journal of Urban Sustainable Development</w:t>
      </w:r>
      <w:r w:rsidRPr="005A64F0">
        <w:rPr>
          <w:sz w:val="24"/>
          <w:szCs w:val="24"/>
        </w:rPr>
        <w:t>, 5(1), pp 40-53.</w:t>
      </w:r>
      <w:proofErr w:type="gramEnd"/>
    </w:p>
    <w:p w:rsidR="005A64F0" w:rsidRDefault="005A64F0" w:rsidP="00D22957">
      <w:pPr>
        <w:pStyle w:val="EndnoteText"/>
        <w:rPr>
          <w:sz w:val="24"/>
          <w:szCs w:val="24"/>
          <w:lang w:val="en-GB"/>
        </w:rPr>
      </w:pPr>
    </w:p>
    <w:p w:rsidR="005A64F0" w:rsidRPr="005A64F0" w:rsidRDefault="005A64F0" w:rsidP="005A64F0">
      <w:pPr>
        <w:pStyle w:val="EndnoteText"/>
        <w:rPr>
          <w:sz w:val="24"/>
          <w:szCs w:val="24"/>
        </w:rPr>
      </w:pPr>
      <w:proofErr w:type="gramStart"/>
      <w:r w:rsidRPr="005A64F0">
        <w:rPr>
          <w:sz w:val="24"/>
          <w:szCs w:val="24"/>
        </w:rPr>
        <w:t>Klink, J. (2013) Neither Spatial Keynesianism, nor competitive neo-localism.</w:t>
      </w:r>
      <w:proofErr w:type="gramEnd"/>
      <w:r w:rsidRPr="005A64F0">
        <w:rPr>
          <w:sz w:val="24"/>
          <w:szCs w:val="24"/>
        </w:rPr>
        <w:t xml:space="preserve"> </w:t>
      </w:r>
      <w:proofErr w:type="gramStart"/>
      <w:r w:rsidRPr="005A64F0">
        <w:rPr>
          <w:sz w:val="24"/>
          <w:szCs w:val="24"/>
        </w:rPr>
        <w:t xml:space="preserve">Rescaling and restructuring the developmental state and the production of space in Brazil, </w:t>
      </w:r>
      <w:r w:rsidRPr="005A64F0">
        <w:rPr>
          <w:i/>
          <w:sz w:val="24"/>
          <w:szCs w:val="24"/>
        </w:rPr>
        <w:t xml:space="preserve">International Journal of Urban sustainable Development, </w:t>
      </w:r>
      <w:r w:rsidRPr="005A64F0">
        <w:rPr>
          <w:sz w:val="24"/>
          <w:szCs w:val="24"/>
        </w:rPr>
        <w:t>5 (1), pp 25-39.</w:t>
      </w:r>
      <w:proofErr w:type="gramEnd"/>
    </w:p>
    <w:p w:rsidR="005A64F0" w:rsidRDefault="005A64F0" w:rsidP="005A64F0">
      <w:pPr>
        <w:pStyle w:val="EndnoteText"/>
        <w:rPr>
          <w:sz w:val="24"/>
          <w:szCs w:val="24"/>
        </w:rPr>
      </w:pPr>
    </w:p>
    <w:p w:rsidR="00F860B6" w:rsidRPr="00F860B6" w:rsidRDefault="00F860B6" w:rsidP="00F860B6">
      <w:pPr>
        <w:pStyle w:val="EndnoteText"/>
        <w:rPr>
          <w:bCs/>
          <w:sz w:val="24"/>
          <w:szCs w:val="24"/>
        </w:rPr>
      </w:pPr>
      <w:r w:rsidRPr="00F860B6">
        <w:rPr>
          <w:sz w:val="24"/>
          <w:szCs w:val="24"/>
          <w:lang w:val="en-GB"/>
        </w:rPr>
        <w:t xml:space="preserve">Klink, J and </w:t>
      </w:r>
      <w:proofErr w:type="spellStart"/>
      <w:r w:rsidRPr="00F860B6">
        <w:rPr>
          <w:sz w:val="24"/>
          <w:szCs w:val="24"/>
          <w:lang w:val="en-GB"/>
        </w:rPr>
        <w:t>Denaldi</w:t>
      </w:r>
      <w:proofErr w:type="spellEnd"/>
      <w:r w:rsidRPr="00F860B6">
        <w:rPr>
          <w:sz w:val="24"/>
          <w:szCs w:val="24"/>
          <w:lang w:val="en-GB"/>
        </w:rPr>
        <w:t>, R. (201</w:t>
      </w:r>
      <w:r>
        <w:rPr>
          <w:sz w:val="24"/>
          <w:szCs w:val="24"/>
          <w:lang w:val="en-GB"/>
        </w:rPr>
        <w:t>5</w:t>
      </w:r>
      <w:r w:rsidRPr="00F860B6">
        <w:rPr>
          <w:sz w:val="24"/>
          <w:szCs w:val="24"/>
          <w:lang w:val="en-GB"/>
        </w:rPr>
        <w:t>)</w:t>
      </w:r>
      <w:r>
        <w:rPr>
          <w:sz w:val="24"/>
          <w:szCs w:val="24"/>
          <w:lang w:val="en-GB"/>
        </w:rPr>
        <w:t xml:space="preserve"> </w:t>
      </w:r>
      <w:r w:rsidRPr="00F860B6">
        <w:rPr>
          <w:bCs/>
          <w:sz w:val="24"/>
          <w:szCs w:val="24"/>
        </w:rPr>
        <w:t>On urban reform, rights and planning challenges in the</w:t>
      </w:r>
    </w:p>
    <w:p w:rsidR="00F860B6" w:rsidRPr="00F860B6" w:rsidRDefault="00F860B6" w:rsidP="00F860B6">
      <w:pPr>
        <w:pStyle w:val="EndnoteText"/>
        <w:rPr>
          <w:sz w:val="24"/>
          <w:szCs w:val="24"/>
        </w:rPr>
      </w:pPr>
      <w:r w:rsidRPr="00F860B6">
        <w:rPr>
          <w:bCs/>
          <w:sz w:val="24"/>
          <w:szCs w:val="24"/>
          <w:lang w:val="en-GB"/>
        </w:rPr>
        <w:t>Brazilian metropolis</w:t>
      </w:r>
      <w:r>
        <w:rPr>
          <w:bCs/>
          <w:sz w:val="24"/>
          <w:szCs w:val="24"/>
          <w:lang w:val="en-GB"/>
        </w:rPr>
        <w:t xml:space="preserve">, Planning Theory, online: 06-2015 available at: </w:t>
      </w:r>
      <w:r w:rsidRPr="00F860B6">
        <w:rPr>
          <w:bCs/>
          <w:sz w:val="24"/>
          <w:szCs w:val="24"/>
          <w:lang w:val="en-GB"/>
        </w:rPr>
        <w:t>http://plt.sagepub.com/content/early/2015/06/27/1473095215592441</w:t>
      </w:r>
      <w:r>
        <w:rPr>
          <w:bCs/>
          <w:sz w:val="24"/>
          <w:szCs w:val="24"/>
          <w:lang w:val="en-GB"/>
        </w:rPr>
        <w:t xml:space="preserve">. </w:t>
      </w:r>
    </w:p>
    <w:p w:rsidR="00F860B6" w:rsidRDefault="00F860B6" w:rsidP="00F860B6">
      <w:pPr>
        <w:pStyle w:val="EndnoteText"/>
        <w:rPr>
          <w:sz w:val="24"/>
          <w:szCs w:val="24"/>
        </w:rPr>
      </w:pPr>
    </w:p>
    <w:p w:rsidR="005A64F0" w:rsidRDefault="005A64F0" w:rsidP="00F860B6">
      <w:pPr>
        <w:pStyle w:val="EndnoteText"/>
        <w:rPr>
          <w:sz w:val="24"/>
          <w:szCs w:val="24"/>
        </w:rPr>
      </w:pPr>
      <w:r>
        <w:rPr>
          <w:sz w:val="24"/>
          <w:szCs w:val="24"/>
        </w:rPr>
        <w:t xml:space="preserve">Klink, J and </w:t>
      </w:r>
      <w:proofErr w:type="spellStart"/>
      <w:r>
        <w:rPr>
          <w:sz w:val="24"/>
          <w:szCs w:val="24"/>
        </w:rPr>
        <w:t>Denaldi</w:t>
      </w:r>
      <w:proofErr w:type="spellEnd"/>
      <w:r w:rsidR="00F860B6">
        <w:rPr>
          <w:sz w:val="24"/>
          <w:szCs w:val="24"/>
        </w:rPr>
        <w:t xml:space="preserve">, R. (2014) </w:t>
      </w:r>
      <w:proofErr w:type="gramStart"/>
      <w:r w:rsidR="00F860B6" w:rsidRPr="00F860B6">
        <w:rPr>
          <w:sz w:val="24"/>
          <w:szCs w:val="24"/>
          <w:lang w:val="en-GB"/>
        </w:rPr>
        <w:t>On</w:t>
      </w:r>
      <w:proofErr w:type="gramEnd"/>
      <w:r w:rsidR="00F860B6" w:rsidRPr="00F860B6">
        <w:rPr>
          <w:sz w:val="24"/>
          <w:szCs w:val="24"/>
          <w:lang w:val="en-GB"/>
        </w:rPr>
        <w:t xml:space="preserve"> </w:t>
      </w:r>
      <w:proofErr w:type="spellStart"/>
      <w:r w:rsidR="00F860B6" w:rsidRPr="00F860B6">
        <w:rPr>
          <w:sz w:val="24"/>
          <w:szCs w:val="24"/>
          <w:lang w:val="en-GB"/>
        </w:rPr>
        <w:t>financialization</w:t>
      </w:r>
      <w:proofErr w:type="spellEnd"/>
      <w:r w:rsidR="00F860B6" w:rsidRPr="00F860B6">
        <w:rPr>
          <w:sz w:val="24"/>
          <w:szCs w:val="24"/>
          <w:lang w:val="en-GB"/>
        </w:rPr>
        <w:t xml:space="preserve"> and state spatial fixes in Brazil. </w:t>
      </w:r>
      <w:proofErr w:type="gramStart"/>
      <w:r w:rsidR="00F860B6" w:rsidRPr="00F860B6">
        <w:rPr>
          <w:sz w:val="24"/>
          <w:szCs w:val="24"/>
          <w:lang w:val="en-GB"/>
        </w:rPr>
        <w:t>A geographical and</w:t>
      </w:r>
      <w:r w:rsidR="00F860B6">
        <w:rPr>
          <w:sz w:val="24"/>
          <w:szCs w:val="24"/>
          <w:lang w:val="en-GB"/>
        </w:rPr>
        <w:t xml:space="preserve"> </w:t>
      </w:r>
      <w:r w:rsidR="00F860B6" w:rsidRPr="00F860B6">
        <w:rPr>
          <w:sz w:val="24"/>
          <w:szCs w:val="24"/>
          <w:lang w:val="en-GB"/>
        </w:rPr>
        <w:t>historical interpretation of the housing program My House My Life</w:t>
      </w:r>
      <w:r w:rsidR="00F860B6">
        <w:rPr>
          <w:sz w:val="24"/>
          <w:szCs w:val="24"/>
          <w:lang w:val="en-GB"/>
        </w:rPr>
        <w:t xml:space="preserve">, </w:t>
      </w:r>
      <w:r w:rsidR="00F860B6" w:rsidRPr="00F860B6">
        <w:rPr>
          <w:i/>
          <w:sz w:val="24"/>
          <w:szCs w:val="24"/>
          <w:lang w:val="en-GB"/>
        </w:rPr>
        <w:t>Habitat International</w:t>
      </w:r>
      <w:r w:rsidR="00F860B6">
        <w:rPr>
          <w:sz w:val="24"/>
          <w:szCs w:val="24"/>
          <w:lang w:val="en-GB"/>
        </w:rPr>
        <w:t>, 44, pp 220-226.</w:t>
      </w:r>
      <w:proofErr w:type="gramEnd"/>
    </w:p>
    <w:p w:rsidR="005A64F0" w:rsidRDefault="005A64F0" w:rsidP="005A64F0">
      <w:pPr>
        <w:pStyle w:val="EndnoteText"/>
        <w:rPr>
          <w:sz w:val="24"/>
          <w:szCs w:val="24"/>
        </w:rPr>
      </w:pPr>
    </w:p>
    <w:p w:rsidR="005A64F0" w:rsidRPr="005A64F0" w:rsidRDefault="005A64F0" w:rsidP="005A64F0">
      <w:pPr>
        <w:pStyle w:val="EndnoteText"/>
        <w:rPr>
          <w:sz w:val="24"/>
          <w:szCs w:val="24"/>
        </w:rPr>
      </w:pPr>
      <w:r w:rsidRPr="005A64F0">
        <w:rPr>
          <w:sz w:val="24"/>
          <w:szCs w:val="24"/>
        </w:rPr>
        <w:t xml:space="preserve">Peck, J. (2010) </w:t>
      </w:r>
      <w:r w:rsidRPr="005A64F0">
        <w:rPr>
          <w:i/>
          <w:sz w:val="24"/>
          <w:szCs w:val="24"/>
        </w:rPr>
        <w:t>Constructions of neo-liberal reason</w:t>
      </w:r>
      <w:r w:rsidRPr="005A64F0">
        <w:rPr>
          <w:sz w:val="24"/>
          <w:szCs w:val="24"/>
        </w:rPr>
        <w:t>, Oxford</w:t>
      </w:r>
      <w:r w:rsidR="00F860B6">
        <w:rPr>
          <w:sz w:val="24"/>
          <w:szCs w:val="24"/>
        </w:rPr>
        <w:t xml:space="preserve"> U</w:t>
      </w:r>
      <w:r w:rsidRPr="005A64F0">
        <w:rPr>
          <w:sz w:val="24"/>
          <w:szCs w:val="24"/>
        </w:rPr>
        <w:t>niversity Press, Oxford, New York.</w:t>
      </w:r>
    </w:p>
    <w:p w:rsidR="005A64F0" w:rsidRPr="005A64F0" w:rsidRDefault="005A64F0" w:rsidP="005A64F0">
      <w:pPr>
        <w:pStyle w:val="EndnoteText"/>
        <w:rPr>
          <w:sz w:val="24"/>
          <w:szCs w:val="24"/>
        </w:rPr>
      </w:pPr>
    </w:p>
    <w:p w:rsidR="005A64F0" w:rsidRPr="005A64F0" w:rsidRDefault="005A64F0" w:rsidP="005A64F0">
      <w:pPr>
        <w:pStyle w:val="EndnoteText"/>
        <w:rPr>
          <w:sz w:val="24"/>
          <w:szCs w:val="24"/>
        </w:rPr>
      </w:pPr>
      <w:proofErr w:type="gramStart"/>
      <w:r w:rsidRPr="005A64F0">
        <w:rPr>
          <w:sz w:val="24"/>
          <w:szCs w:val="24"/>
        </w:rPr>
        <w:t xml:space="preserve">Peck, J and Tickell, A. (2002) </w:t>
      </w:r>
      <w:proofErr w:type="spellStart"/>
      <w:r w:rsidRPr="005A64F0">
        <w:rPr>
          <w:sz w:val="24"/>
          <w:szCs w:val="24"/>
        </w:rPr>
        <w:t>Neoliberalizing</w:t>
      </w:r>
      <w:proofErr w:type="spellEnd"/>
      <w:r w:rsidRPr="005A64F0">
        <w:rPr>
          <w:sz w:val="24"/>
          <w:szCs w:val="24"/>
        </w:rPr>
        <w:t xml:space="preserve"> space, </w:t>
      </w:r>
      <w:r w:rsidRPr="005A64F0">
        <w:rPr>
          <w:i/>
          <w:sz w:val="24"/>
          <w:szCs w:val="24"/>
        </w:rPr>
        <w:t xml:space="preserve">Antipode, </w:t>
      </w:r>
      <w:r w:rsidRPr="005A64F0">
        <w:rPr>
          <w:sz w:val="24"/>
          <w:szCs w:val="24"/>
        </w:rPr>
        <w:t>34(3), pp 380-404.</w:t>
      </w:r>
      <w:proofErr w:type="gramEnd"/>
      <w:r w:rsidRPr="005A64F0">
        <w:rPr>
          <w:sz w:val="24"/>
          <w:szCs w:val="24"/>
        </w:rPr>
        <w:t xml:space="preserve">  </w:t>
      </w:r>
    </w:p>
    <w:p w:rsidR="005A64F0" w:rsidRDefault="005A64F0" w:rsidP="00D22957">
      <w:pPr>
        <w:pStyle w:val="EndnoteText"/>
        <w:rPr>
          <w:sz w:val="24"/>
          <w:szCs w:val="24"/>
          <w:lang w:val="en-GB"/>
        </w:rPr>
      </w:pPr>
    </w:p>
    <w:p w:rsidR="005A64F0" w:rsidRPr="005A64F0" w:rsidRDefault="005A64F0" w:rsidP="005A64F0">
      <w:pPr>
        <w:pStyle w:val="EndnoteText"/>
        <w:rPr>
          <w:sz w:val="24"/>
          <w:szCs w:val="24"/>
        </w:rPr>
      </w:pPr>
      <w:proofErr w:type="spellStart"/>
      <w:r w:rsidRPr="005A64F0">
        <w:rPr>
          <w:sz w:val="24"/>
          <w:szCs w:val="24"/>
        </w:rPr>
        <w:t>Rolnik</w:t>
      </w:r>
      <w:proofErr w:type="spellEnd"/>
      <w:r w:rsidRPr="005A64F0">
        <w:rPr>
          <w:sz w:val="24"/>
          <w:szCs w:val="24"/>
        </w:rPr>
        <w:t xml:space="preserve">, R. (2013) 10 years of the city statute in </w:t>
      </w:r>
      <w:smartTag w:uri="urn:schemas-microsoft-com:office:smarttags" w:element="country-region">
        <w:smartTag w:uri="urn:schemas-microsoft-com:office:smarttags" w:element="place">
          <w:r w:rsidRPr="005A64F0">
            <w:rPr>
              <w:sz w:val="24"/>
              <w:szCs w:val="24"/>
            </w:rPr>
            <w:t>Brazil</w:t>
          </w:r>
        </w:smartTag>
      </w:smartTag>
      <w:r w:rsidRPr="005A64F0">
        <w:rPr>
          <w:sz w:val="24"/>
          <w:szCs w:val="24"/>
        </w:rPr>
        <w:t xml:space="preserve">: from the struggle for urban reform to world cup cities, </w:t>
      </w:r>
      <w:r w:rsidRPr="005A64F0">
        <w:rPr>
          <w:i/>
          <w:sz w:val="24"/>
          <w:szCs w:val="24"/>
        </w:rPr>
        <w:t xml:space="preserve">International Journal of Urban sustainable Development, </w:t>
      </w:r>
      <w:r w:rsidRPr="005A64F0">
        <w:rPr>
          <w:sz w:val="24"/>
          <w:szCs w:val="24"/>
        </w:rPr>
        <w:t>5(1), pp 54-64.</w:t>
      </w:r>
    </w:p>
    <w:p w:rsidR="005A64F0" w:rsidRDefault="005A64F0" w:rsidP="00D22957">
      <w:pPr>
        <w:pStyle w:val="EndnoteText"/>
        <w:rPr>
          <w:sz w:val="24"/>
          <w:szCs w:val="24"/>
          <w:lang w:val="en-GB"/>
        </w:rPr>
      </w:pPr>
    </w:p>
    <w:p w:rsidR="00F42AA4" w:rsidRPr="005A64F0" w:rsidRDefault="00F42AA4" w:rsidP="00D22957">
      <w:pPr>
        <w:pStyle w:val="EndnoteText"/>
        <w:rPr>
          <w:sz w:val="24"/>
          <w:szCs w:val="24"/>
          <w:lang w:val="en-GB"/>
        </w:rPr>
      </w:pPr>
      <w:proofErr w:type="spellStart"/>
      <w:r>
        <w:rPr>
          <w:sz w:val="24"/>
          <w:szCs w:val="24"/>
          <w:lang w:val="en-GB"/>
        </w:rPr>
        <w:t>Safier</w:t>
      </w:r>
      <w:proofErr w:type="spellEnd"/>
      <w:r>
        <w:rPr>
          <w:sz w:val="24"/>
          <w:szCs w:val="24"/>
          <w:lang w:val="en-GB"/>
        </w:rPr>
        <w:t>, M (undated</w:t>
      </w:r>
      <w:proofErr w:type="gramStart"/>
      <w:r>
        <w:rPr>
          <w:sz w:val="24"/>
          <w:szCs w:val="24"/>
          <w:lang w:val="en-GB"/>
        </w:rPr>
        <w:t>)  Exploring</w:t>
      </w:r>
      <w:proofErr w:type="gramEnd"/>
      <w:r>
        <w:rPr>
          <w:sz w:val="24"/>
          <w:szCs w:val="24"/>
          <w:lang w:val="en-GB"/>
        </w:rPr>
        <w:t xml:space="preserve"> the Room for Manoeuver for Drivers of Change: promoting sustainable progress in urban areas, Development Planning Unit, University College London, available at: </w:t>
      </w:r>
      <w:r w:rsidRPr="00F42AA4">
        <w:rPr>
          <w:i/>
          <w:iCs/>
          <w:sz w:val="24"/>
          <w:szCs w:val="24"/>
          <w:lang w:val="en-GB"/>
        </w:rPr>
        <w:t>www.ucl.ac.uk/dpu.../</w:t>
      </w:r>
      <w:r w:rsidRPr="00F42AA4">
        <w:rPr>
          <w:b/>
          <w:bCs/>
          <w:i/>
          <w:iCs/>
          <w:sz w:val="24"/>
          <w:szCs w:val="24"/>
          <w:lang w:val="en-GB"/>
        </w:rPr>
        <w:t>drivers</w:t>
      </w:r>
      <w:r w:rsidRPr="00F42AA4">
        <w:rPr>
          <w:i/>
          <w:iCs/>
          <w:sz w:val="24"/>
          <w:szCs w:val="24"/>
          <w:lang w:val="en-GB"/>
        </w:rPr>
        <w:t>_urb_</w:t>
      </w:r>
      <w:r w:rsidRPr="00F42AA4">
        <w:rPr>
          <w:b/>
          <w:bCs/>
          <w:i/>
          <w:iCs/>
          <w:sz w:val="24"/>
          <w:szCs w:val="24"/>
          <w:lang w:val="en-GB"/>
        </w:rPr>
        <w:t>change</w:t>
      </w:r>
      <w:r w:rsidRPr="00F42AA4">
        <w:rPr>
          <w:i/>
          <w:iCs/>
          <w:sz w:val="24"/>
          <w:szCs w:val="24"/>
          <w:lang w:val="en-GB"/>
        </w:rPr>
        <w:t>/.../</w:t>
      </w:r>
      <w:r w:rsidRPr="00F42AA4">
        <w:rPr>
          <w:b/>
          <w:bCs/>
          <w:i/>
          <w:iCs/>
          <w:sz w:val="24"/>
          <w:szCs w:val="24"/>
          <w:lang w:val="en-GB"/>
        </w:rPr>
        <w:t>room_for_manoeuvre</w:t>
      </w:r>
      <w:r w:rsidRPr="00F42AA4">
        <w:rPr>
          <w:i/>
          <w:iCs/>
          <w:sz w:val="24"/>
          <w:szCs w:val="24"/>
          <w:lang w:val="en-GB"/>
        </w:rPr>
        <w:t>.pdf</w:t>
      </w:r>
      <w:r>
        <w:rPr>
          <w:i/>
          <w:iCs/>
          <w:sz w:val="24"/>
          <w:szCs w:val="24"/>
          <w:lang w:val="en-GB"/>
        </w:rPr>
        <w:t>.</w:t>
      </w:r>
      <w:r>
        <w:rPr>
          <w:sz w:val="24"/>
          <w:szCs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C8" w:rsidRDefault="00EC14C8" w:rsidP="00EC14C8">
      <w:pPr>
        <w:spacing w:after="0" w:line="240" w:lineRule="auto"/>
      </w:pPr>
      <w:r>
        <w:separator/>
      </w:r>
    </w:p>
  </w:footnote>
  <w:footnote w:type="continuationSeparator" w:id="0">
    <w:p w:rsidR="00EC14C8" w:rsidRDefault="00EC14C8" w:rsidP="00EC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C8"/>
    <w:rsid w:val="00037415"/>
    <w:rsid w:val="00265E17"/>
    <w:rsid w:val="0038503E"/>
    <w:rsid w:val="003E3A85"/>
    <w:rsid w:val="004605B7"/>
    <w:rsid w:val="00490B30"/>
    <w:rsid w:val="00491DF4"/>
    <w:rsid w:val="004B4116"/>
    <w:rsid w:val="00545BC4"/>
    <w:rsid w:val="005A64F0"/>
    <w:rsid w:val="005C1646"/>
    <w:rsid w:val="00692D78"/>
    <w:rsid w:val="006D2F75"/>
    <w:rsid w:val="007A6B3C"/>
    <w:rsid w:val="007C2025"/>
    <w:rsid w:val="00876F5A"/>
    <w:rsid w:val="008B769A"/>
    <w:rsid w:val="008C1E36"/>
    <w:rsid w:val="008E0563"/>
    <w:rsid w:val="008F6197"/>
    <w:rsid w:val="00A77F42"/>
    <w:rsid w:val="00AD3948"/>
    <w:rsid w:val="00B02E60"/>
    <w:rsid w:val="00BA3858"/>
    <w:rsid w:val="00BE7809"/>
    <w:rsid w:val="00D22957"/>
    <w:rsid w:val="00D3420D"/>
    <w:rsid w:val="00EC14C8"/>
    <w:rsid w:val="00EC5B6A"/>
    <w:rsid w:val="00F42AA4"/>
    <w:rsid w:val="00F860B6"/>
    <w:rsid w:val="00FB4970"/>
    <w:rsid w:val="00FB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14C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C14C8"/>
    <w:rPr>
      <w:rFonts w:ascii="Times New Roman" w:eastAsia="Times New Roman" w:hAnsi="Times New Roman" w:cs="Times New Roman"/>
      <w:sz w:val="20"/>
      <w:szCs w:val="20"/>
      <w:lang w:val="en-US"/>
    </w:rPr>
  </w:style>
  <w:style w:type="character" w:styleId="FootnoteReference">
    <w:name w:val="footnote reference"/>
    <w:rsid w:val="00EC14C8"/>
    <w:rPr>
      <w:vertAlign w:val="superscript"/>
    </w:rPr>
  </w:style>
  <w:style w:type="paragraph" w:styleId="ListParagraph">
    <w:name w:val="List Paragraph"/>
    <w:basedOn w:val="Normal"/>
    <w:uiPriority w:val="34"/>
    <w:qFormat/>
    <w:rsid w:val="00EC14C8"/>
    <w:pPr>
      <w:ind w:left="720"/>
      <w:contextualSpacing/>
    </w:pPr>
  </w:style>
  <w:style w:type="paragraph" w:styleId="EndnoteText">
    <w:name w:val="endnote text"/>
    <w:basedOn w:val="Normal"/>
    <w:link w:val="EndnoteTextChar"/>
    <w:uiPriority w:val="99"/>
    <w:semiHidden/>
    <w:unhideWhenUsed/>
    <w:rsid w:val="00D2295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2295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22957"/>
    <w:rPr>
      <w:vertAlign w:val="superscript"/>
    </w:rPr>
  </w:style>
  <w:style w:type="character" w:styleId="CommentReference">
    <w:name w:val="annotation reference"/>
    <w:basedOn w:val="DefaultParagraphFont"/>
    <w:uiPriority w:val="99"/>
    <w:semiHidden/>
    <w:unhideWhenUsed/>
    <w:rsid w:val="004B4116"/>
    <w:rPr>
      <w:sz w:val="16"/>
      <w:szCs w:val="16"/>
    </w:rPr>
  </w:style>
  <w:style w:type="paragraph" w:styleId="CommentText">
    <w:name w:val="annotation text"/>
    <w:basedOn w:val="Normal"/>
    <w:link w:val="CommentTextChar"/>
    <w:uiPriority w:val="99"/>
    <w:semiHidden/>
    <w:unhideWhenUsed/>
    <w:rsid w:val="004B4116"/>
    <w:pPr>
      <w:spacing w:line="240" w:lineRule="auto"/>
    </w:pPr>
    <w:rPr>
      <w:sz w:val="20"/>
      <w:szCs w:val="20"/>
    </w:rPr>
  </w:style>
  <w:style w:type="character" w:customStyle="1" w:styleId="CommentTextChar">
    <w:name w:val="Comment Text Char"/>
    <w:basedOn w:val="DefaultParagraphFont"/>
    <w:link w:val="CommentText"/>
    <w:uiPriority w:val="99"/>
    <w:semiHidden/>
    <w:rsid w:val="004B4116"/>
    <w:rPr>
      <w:sz w:val="20"/>
      <w:szCs w:val="20"/>
    </w:rPr>
  </w:style>
  <w:style w:type="paragraph" w:styleId="CommentSubject">
    <w:name w:val="annotation subject"/>
    <w:basedOn w:val="CommentText"/>
    <w:next w:val="CommentText"/>
    <w:link w:val="CommentSubjectChar"/>
    <w:uiPriority w:val="99"/>
    <w:semiHidden/>
    <w:unhideWhenUsed/>
    <w:rsid w:val="004B4116"/>
    <w:rPr>
      <w:b/>
      <w:bCs/>
    </w:rPr>
  </w:style>
  <w:style w:type="character" w:customStyle="1" w:styleId="CommentSubjectChar">
    <w:name w:val="Comment Subject Char"/>
    <w:basedOn w:val="CommentTextChar"/>
    <w:link w:val="CommentSubject"/>
    <w:uiPriority w:val="99"/>
    <w:semiHidden/>
    <w:rsid w:val="004B4116"/>
    <w:rPr>
      <w:b/>
      <w:bCs/>
      <w:sz w:val="20"/>
      <w:szCs w:val="20"/>
    </w:rPr>
  </w:style>
  <w:style w:type="paragraph" w:styleId="BalloonText">
    <w:name w:val="Balloon Text"/>
    <w:basedOn w:val="Normal"/>
    <w:link w:val="BalloonTextChar"/>
    <w:uiPriority w:val="99"/>
    <w:semiHidden/>
    <w:unhideWhenUsed/>
    <w:rsid w:val="004B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14C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C14C8"/>
    <w:rPr>
      <w:rFonts w:ascii="Times New Roman" w:eastAsia="Times New Roman" w:hAnsi="Times New Roman" w:cs="Times New Roman"/>
      <w:sz w:val="20"/>
      <w:szCs w:val="20"/>
      <w:lang w:val="en-US"/>
    </w:rPr>
  </w:style>
  <w:style w:type="character" w:styleId="FootnoteReference">
    <w:name w:val="footnote reference"/>
    <w:rsid w:val="00EC14C8"/>
    <w:rPr>
      <w:vertAlign w:val="superscript"/>
    </w:rPr>
  </w:style>
  <w:style w:type="paragraph" w:styleId="ListParagraph">
    <w:name w:val="List Paragraph"/>
    <w:basedOn w:val="Normal"/>
    <w:uiPriority w:val="34"/>
    <w:qFormat/>
    <w:rsid w:val="00EC14C8"/>
    <w:pPr>
      <w:ind w:left="720"/>
      <w:contextualSpacing/>
    </w:pPr>
  </w:style>
  <w:style w:type="paragraph" w:styleId="EndnoteText">
    <w:name w:val="endnote text"/>
    <w:basedOn w:val="Normal"/>
    <w:link w:val="EndnoteTextChar"/>
    <w:uiPriority w:val="99"/>
    <w:semiHidden/>
    <w:unhideWhenUsed/>
    <w:rsid w:val="00D2295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2295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22957"/>
    <w:rPr>
      <w:vertAlign w:val="superscript"/>
    </w:rPr>
  </w:style>
  <w:style w:type="character" w:styleId="CommentReference">
    <w:name w:val="annotation reference"/>
    <w:basedOn w:val="DefaultParagraphFont"/>
    <w:uiPriority w:val="99"/>
    <w:semiHidden/>
    <w:unhideWhenUsed/>
    <w:rsid w:val="004B4116"/>
    <w:rPr>
      <w:sz w:val="16"/>
      <w:szCs w:val="16"/>
    </w:rPr>
  </w:style>
  <w:style w:type="paragraph" w:styleId="CommentText">
    <w:name w:val="annotation text"/>
    <w:basedOn w:val="Normal"/>
    <w:link w:val="CommentTextChar"/>
    <w:uiPriority w:val="99"/>
    <w:semiHidden/>
    <w:unhideWhenUsed/>
    <w:rsid w:val="004B4116"/>
    <w:pPr>
      <w:spacing w:line="240" w:lineRule="auto"/>
    </w:pPr>
    <w:rPr>
      <w:sz w:val="20"/>
      <w:szCs w:val="20"/>
    </w:rPr>
  </w:style>
  <w:style w:type="character" w:customStyle="1" w:styleId="CommentTextChar">
    <w:name w:val="Comment Text Char"/>
    <w:basedOn w:val="DefaultParagraphFont"/>
    <w:link w:val="CommentText"/>
    <w:uiPriority w:val="99"/>
    <w:semiHidden/>
    <w:rsid w:val="004B4116"/>
    <w:rPr>
      <w:sz w:val="20"/>
      <w:szCs w:val="20"/>
    </w:rPr>
  </w:style>
  <w:style w:type="paragraph" w:styleId="CommentSubject">
    <w:name w:val="annotation subject"/>
    <w:basedOn w:val="CommentText"/>
    <w:next w:val="CommentText"/>
    <w:link w:val="CommentSubjectChar"/>
    <w:uiPriority w:val="99"/>
    <w:semiHidden/>
    <w:unhideWhenUsed/>
    <w:rsid w:val="004B4116"/>
    <w:rPr>
      <w:b/>
      <w:bCs/>
    </w:rPr>
  </w:style>
  <w:style w:type="character" w:customStyle="1" w:styleId="CommentSubjectChar">
    <w:name w:val="Comment Subject Char"/>
    <w:basedOn w:val="CommentTextChar"/>
    <w:link w:val="CommentSubject"/>
    <w:uiPriority w:val="99"/>
    <w:semiHidden/>
    <w:rsid w:val="004B4116"/>
    <w:rPr>
      <w:b/>
      <w:bCs/>
      <w:sz w:val="20"/>
      <w:szCs w:val="20"/>
    </w:rPr>
  </w:style>
  <w:style w:type="paragraph" w:styleId="BalloonText">
    <w:name w:val="Balloon Text"/>
    <w:basedOn w:val="Normal"/>
    <w:link w:val="BalloonTextChar"/>
    <w:uiPriority w:val="99"/>
    <w:semiHidden/>
    <w:unhideWhenUsed/>
    <w:rsid w:val="004B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2015-10-15T15:11:00Z</dcterms:created>
  <dcterms:modified xsi:type="dcterms:W3CDTF">2015-10-15T15:56:00Z</dcterms:modified>
</cp:coreProperties>
</file>