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B676" w14:textId="77777777" w:rsidR="001F5DE3" w:rsidRDefault="001F5DE3" w:rsidP="007119A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Statement of the problem</w:t>
      </w:r>
    </w:p>
    <w:p w14:paraId="76B1795F" w14:textId="77777777" w:rsidR="00E3398A" w:rsidRDefault="00B41262" w:rsidP="007119A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2001, </w:t>
      </w:r>
      <w:r w:rsidR="00881CCE">
        <w:rPr>
          <w:rFonts w:ascii="Times New Roman" w:eastAsiaTheme="minorEastAsia" w:hAnsi="Times New Roman" w:cs="Times New Roman"/>
          <w:sz w:val="24"/>
          <w:szCs w:val="24"/>
        </w:rPr>
        <w:t>privatisation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>socially owned apartments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was initiated in </w:t>
      </w:r>
      <w:r w:rsidRPr="00881CCE">
        <w:rPr>
          <w:rFonts w:ascii="Times New Roman" w:hAnsi="Times New Roman" w:cs="Times New Roman"/>
          <w:sz w:val="24"/>
          <w:szCs w:val="24"/>
        </w:rPr>
        <w:t>Republika Srpska (one out of the two post-war emerged entities of Bosnia and Herzegovina, here referred to as ‘the entity’)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process, which was 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considered an integral part of political </w:t>
      </w:r>
      <w:r w:rsidRPr="00881CCE">
        <w:rPr>
          <w:rFonts w:ascii="Times New Roman" w:hAnsi="Times New Roman" w:cs="Times New Roman"/>
          <w:sz w:val="24"/>
          <w:szCs w:val="24"/>
        </w:rPr>
        <w:t xml:space="preserve">‘preparatory strategies for the inevitable economic and political transformation’ </w:t>
      </w:r>
      <w:r w:rsidRPr="00881CCE">
        <w:rPr>
          <w:rFonts w:ascii="Times New Roman" w:hAnsi="Times New Roman" w:cs="Times New Roman"/>
          <w:sz w:val="24"/>
          <w:szCs w:val="24"/>
        </w:rPr>
        <w:fldChar w:fldCharType="begin"/>
      </w:r>
      <w:r w:rsidRPr="00881CC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&lt;EndNote&gt;&lt;Cite&gt;&lt;Author&gt;Petrović&lt;/Author&gt;&lt;Year&gt;2001&lt;/Year&gt;&lt;RecNum&gt;163&lt;/RecNum&gt;&lt;Pages&gt;216&lt;/Pages&gt;&lt;DisplayText&gt;(Petrović, 2001, p. 216)&lt;/DisplayText&gt;&lt;record&gt;&lt;rec-number&gt;163&lt;/rec-number&gt;&lt;foreign-keys&gt;&lt;key app="EN" db-id="ewwwp2fe995e5ker9t4vfea55r92a0xxx9p5" timestamp="1444475691"&gt;163&lt;/key&gt;&lt;/foreign-keys&gt;&lt;ref-type name="Journal Article"&gt;17&lt;/ref-type&gt;&lt;contributors&gt;&lt;authors&gt;&lt;author&gt;Petrović, Mina&lt;/author&gt;&lt;/authors&gt;&lt;/contributors&gt;&lt;titles&gt;&lt;title&gt;Post-socialist housing policy transformation in Yugoslavia and Belgrade&lt;/title&gt;&lt;secondary-title&gt;International Journal of Housing Policy &lt;/secondary-title&gt;&lt;/titles&gt;&lt;periodical&gt;&lt;full-title&gt;International Journal of Housing Policy&lt;/full-title&gt;&lt;/periodical&gt;&lt;pages&gt;211-231&lt;/pages&gt;&lt;volume&gt;1&lt;/volume&gt;&lt;number&gt;1&lt;/number&gt;&lt;dates&gt;&lt;year&gt;2001&lt;/year&gt;&lt;/dates&gt;&lt;urls&gt;&lt;/urls&gt;&lt;/record&gt;&lt;/Cite&gt;&lt;/EndNote&gt;</w:instrText>
      </w:r>
      <w:r w:rsidRPr="00881CCE">
        <w:rPr>
          <w:rFonts w:ascii="Times New Roman" w:hAnsi="Times New Roman" w:cs="Times New Roman"/>
          <w:sz w:val="24"/>
          <w:szCs w:val="24"/>
        </w:rPr>
        <w:fldChar w:fldCharType="separate"/>
      </w:r>
      <w:r w:rsidRPr="00881CCE">
        <w:rPr>
          <w:rFonts w:ascii="Times New Roman" w:hAnsi="Times New Roman" w:cs="Times New Roman"/>
          <w:noProof/>
          <w:sz w:val="24"/>
          <w:szCs w:val="24"/>
        </w:rPr>
        <w:t>(Petrović, 2001, p. 216)</w:t>
      </w:r>
      <w:r w:rsidRPr="00881CC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Pr="00881CCE">
        <w:rPr>
          <w:rFonts w:ascii="Times New Roman" w:hAnsi="Times New Roman" w:cs="Times New Roman"/>
          <w:sz w:val="24"/>
          <w:szCs w:val="24"/>
        </w:rPr>
        <w:t xml:space="preserve"> </w:t>
      </w:r>
      <w:r w:rsidR="003A3CF3">
        <w:rPr>
          <w:rFonts w:ascii="Times New Roman" w:eastAsiaTheme="minorEastAsia" w:hAnsi="Times New Roman" w:cs="Times New Roman"/>
          <w:sz w:val="24"/>
          <w:szCs w:val="24"/>
        </w:rPr>
        <w:t xml:space="preserve">resulted in 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variety of socio-spatial changes, producing ‘more serious negative (social) effects than expected’ 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&lt;EndNote&gt;&lt;Cite&gt;&lt;Author&gt;Petrovic&lt;/Author&gt;&lt;Year&gt;2005&lt;/Year&gt;&lt;RecNum&gt;171&lt;/RecNum&gt;&lt;Pages&gt;10&lt;/Pages&gt;&lt;DisplayText&gt;(Petrović, 2005, p. 10)&lt;/DisplayText&gt;&lt;record&gt;&lt;rec-number&gt;171&lt;/rec-number&gt;&lt;foreign-keys&gt;&lt;key app="EN" db-id="ewwwp2fe995e5ker9t4vfea55r92a0xxx9p5" timestamp="1444586138"&gt;171&lt;/key&gt;&lt;/foreign-keys&gt;&lt;ref-type name="Conference Paper"&gt;47&lt;/ref-type&gt;&lt;contributors&gt;&lt;authors&gt;&lt;author&gt;Petrović, Mina&lt;/author&gt;&lt;/authors&gt;&lt;/contributors&gt;&lt;titles&gt;&lt;title&gt;Cities after socialism as a research issue&lt;/title&gt;&lt;secondary-title&gt;Discussion papers (South East Europe series), DP34&lt;/secondary-title&gt;&lt;/titles&gt;&lt;dates&gt;&lt;year&gt;2005&lt;/year&gt;&lt;/dates&gt;&lt;pub-location&gt;Centre for the Study of Global Governance, London School of economics and political science, London, UK&lt;/pub-location&gt;&lt;urls&gt;&lt;/urls&gt;&lt;/record&gt;&lt;/Cite&gt;&lt;/EndNote&gt;</w:instrTex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881CCE">
        <w:rPr>
          <w:rFonts w:ascii="Times New Roman" w:eastAsiaTheme="minorEastAsia" w:hAnsi="Times New Roman" w:cs="Times New Roman"/>
          <w:noProof/>
          <w:sz w:val="24"/>
          <w:szCs w:val="24"/>
        </w:rPr>
        <w:t>(Petrović, 2005, p. 10)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3398A" w:rsidRPr="002658FC">
        <w:rPr>
          <w:rFonts w:ascii="Times New Roman" w:hAnsi="Times New Roman" w:cs="Times New Roman"/>
          <w:i/>
          <w:sz w:val="24"/>
          <w:szCs w:val="24"/>
        </w:rPr>
        <w:t>The</w:t>
      </w:r>
      <w:r w:rsidR="00E3398A" w:rsidRPr="00881CCE">
        <w:rPr>
          <w:rFonts w:ascii="Times New Roman" w:hAnsi="Times New Roman" w:cs="Times New Roman"/>
          <w:i/>
          <w:sz w:val="24"/>
          <w:szCs w:val="20"/>
        </w:rPr>
        <w:t xml:space="preserve"> new</w:t>
      </w:r>
      <w:r w:rsidR="00E3398A">
        <w:rPr>
          <w:rFonts w:ascii="Times New Roman" w:hAnsi="Times New Roman" w:cs="Times New Roman"/>
          <w:i/>
          <w:sz w:val="24"/>
          <w:szCs w:val="20"/>
        </w:rPr>
        <w:t xml:space="preserve"> post-privatisation</w:t>
      </w:r>
      <w:r w:rsidR="00E3398A" w:rsidRPr="00881CCE">
        <w:rPr>
          <w:rFonts w:ascii="Times New Roman" w:hAnsi="Times New Roman" w:cs="Times New Roman"/>
          <w:i/>
          <w:sz w:val="24"/>
          <w:szCs w:val="20"/>
        </w:rPr>
        <w:t xml:space="preserve"> era </w:t>
      </w:r>
      <w:r w:rsidR="00E3398A" w:rsidRPr="00881CCE">
        <w:rPr>
          <w:rFonts w:ascii="Times New Roman" w:hAnsi="Times New Roman" w:cs="Times New Roman"/>
          <w:sz w:val="24"/>
          <w:szCs w:val="20"/>
        </w:rPr>
        <w:t>was first and foremost characterised by the</w:t>
      </w:r>
      <w:r w:rsidR="00E3398A">
        <w:rPr>
          <w:rFonts w:ascii="Times New Roman" w:hAnsi="Times New Roman" w:cs="Times New Roman"/>
          <w:sz w:val="24"/>
          <w:szCs w:val="20"/>
        </w:rPr>
        <w:t xml:space="preserve"> </w:t>
      </w:r>
      <w:r w:rsidR="00E3398A" w:rsidRPr="00B41262">
        <w:rPr>
          <w:rFonts w:ascii="Times New Roman" w:hAnsi="Times New Roman" w:cs="Times New Roman"/>
          <w:i/>
          <w:iCs/>
          <w:sz w:val="24"/>
          <w:szCs w:val="24"/>
        </w:rPr>
        <w:t>epidemic of the new means of behaviour</w:t>
      </w:r>
      <w:r w:rsidR="00E3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398A" w:rsidRPr="0091704B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E3398A">
        <w:rPr>
          <w:rFonts w:ascii="Times New Roman" w:hAnsi="Times New Roman" w:cs="Times New Roman"/>
          <w:iCs/>
          <w:sz w:val="24"/>
          <w:szCs w:val="24"/>
        </w:rPr>
        <w:t xml:space="preserve">local population, who </w:t>
      </w:r>
      <w:r w:rsidR="00E3398A">
        <w:rPr>
          <w:rFonts w:ascii="Times New Roman" w:hAnsi="Times New Roman" w:cs="Times New Roman"/>
          <w:sz w:val="24"/>
          <w:szCs w:val="20"/>
        </w:rPr>
        <w:t xml:space="preserve">started </w:t>
      </w:r>
      <w:r w:rsidR="00E3398A" w:rsidRPr="00881CCE">
        <w:rPr>
          <w:rFonts w:ascii="Times New Roman" w:hAnsi="Times New Roman" w:cs="Times New Roman"/>
          <w:iCs/>
          <w:sz w:val="24"/>
          <w:szCs w:val="20"/>
        </w:rPr>
        <w:t>set</w:t>
      </w:r>
      <w:r w:rsidR="00E3398A">
        <w:rPr>
          <w:rFonts w:ascii="Times New Roman" w:hAnsi="Times New Roman" w:cs="Times New Roman"/>
          <w:iCs/>
          <w:sz w:val="24"/>
          <w:szCs w:val="20"/>
        </w:rPr>
        <w:t>ting</w:t>
      </w:r>
      <w:r w:rsidR="003A3CF3">
        <w:rPr>
          <w:rFonts w:ascii="Times New Roman" w:hAnsi="Times New Roman" w:cs="Times New Roman"/>
          <w:iCs/>
          <w:sz w:val="24"/>
          <w:szCs w:val="20"/>
        </w:rPr>
        <w:t xml:space="preserve"> themselves</w:t>
      </w:r>
      <w:r w:rsidR="00E3398A" w:rsidRPr="00881CCE">
        <w:rPr>
          <w:rFonts w:ascii="Times New Roman" w:hAnsi="Times New Roman" w:cs="Times New Roman"/>
          <w:iCs/>
          <w:sz w:val="24"/>
          <w:szCs w:val="20"/>
        </w:rPr>
        <w:t xml:space="preserve"> free </w:t>
      </w:r>
      <w:r w:rsidR="00E3398A" w:rsidRPr="00881CCE">
        <w:rPr>
          <w:rFonts w:ascii="Times New Roman" w:hAnsi="Times New Roman" w:cs="Times New Roman"/>
          <w:color w:val="141823"/>
          <w:sz w:val="24"/>
          <w:szCs w:val="20"/>
          <w:lang w:eastAsia="de-DE"/>
        </w:rPr>
        <w:t>what was</w:t>
      </w:r>
      <w:r w:rsidR="00E3398A" w:rsidRPr="00881CCE">
        <w:rPr>
          <w:rFonts w:ascii="Times New Roman" w:hAnsi="Times New Roman" w:cs="Times New Roman"/>
          <w:iCs/>
          <w:sz w:val="24"/>
          <w:szCs w:val="20"/>
        </w:rPr>
        <w:t xml:space="preserve"> suppressed during the socialism – e.g. ‘personalism, spontaneity, fragmentation’ </w:t>
      </w:r>
      <w:r w:rsidR="00E3398A" w:rsidRPr="00881CCE">
        <w:rPr>
          <w:rFonts w:ascii="Times New Roman" w:hAnsi="Times New Roman" w:cs="Times New Roman"/>
          <w:iCs/>
          <w:sz w:val="24"/>
          <w:szCs w:val="20"/>
        </w:rPr>
        <w:fldChar w:fldCharType="begin"/>
      </w:r>
      <w:r w:rsidR="00E3398A" w:rsidRPr="00881CCE">
        <w:rPr>
          <w:rFonts w:ascii="Times New Roman" w:hAnsi="Times New Roman" w:cs="Times New Roman"/>
          <w:iCs/>
          <w:sz w:val="24"/>
          <w:szCs w:val="20"/>
        </w:rPr>
        <w:instrText xml:space="preserve"> ADDIN EN.CITE &lt;EndNote&gt;&lt;Cite&gt;&lt;Author&gt;Hirt&lt;/Author&gt;&lt;Year&gt;2012&lt;/Year&gt;&lt;RecNum&gt;166&lt;/RecNum&gt;&lt;Pages&gt;65&lt;/Pages&gt;&lt;DisplayText&gt;(Hirt, 2012, p. 65)&lt;/DisplayText&gt;&lt;record&gt;&lt;rec-number&gt;166&lt;/rec-number&gt;&lt;foreign-keys&gt;&lt;key app="EN" db-id="ewwwp2fe995e5ker9t4vfea55r92a0xxx9p5" timestamp="1444585795"&gt;166&lt;/key&gt;&lt;/foreign-keys&gt;&lt;ref-type name="Book"&gt;6&lt;/ref-type&gt;&lt;contributors&gt;&lt;authors&gt;&lt;author&gt;Hirt, Sonia A. &lt;/author&gt;&lt;/authors&gt;&lt;/contributors&gt;&lt;titles&gt;&lt;title&gt;Iron Curtains: Gates, Suburbs and Privatization of Space in Post-Socialist City&lt;/title&gt;&lt;/titles&gt;&lt;dates&gt;&lt;year&gt;2012&lt;/year&gt;&lt;/dates&gt;&lt;pub-location&gt;Chichester, UK&lt;/pub-location&gt;&lt;publisher&gt;Wiley-Blackwell&lt;/publisher&gt;&lt;urls&gt;&lt;/urls&gt;&lt;/record&gt;&lt;/Cite&gt;&lt;/EndNote&gt;</w:instrText>
      </w:r>
      <w:r w:rsidR="00E3398A" w:rsidRPr="00881CCE">
        <w:rPr>
          <w:rFonts w:ascii="Times New Roman" w:hAnsi="Times New Roman" w:cs="Times New Roman"/>
          <w:iCs/>
          <w:sz w:val="24"/>
          <w:szCs w:val="20"/>
        </w:rPr>
        <w:fldChar w:fldCharType="separate"/>
      </w:r>
      <w:r w:rsidR="00E3398A" w:rsidRPr="00881CCE">
        <w:rPr>
          <w:rFonts w:ascii="Times New Roman" w:hAnsi="Times New Roman" w:cs="Times New Roman"/>
          <w:iCs/>
          <w:noProof/>
          <w:sz w:val="24"/>
          <w:szCs w:val="20"/>
        </w:rPr>
        <w:t>(Hirt, 2012, p. 65)</w:t>
      </w:r>
      <w:r w:rsidR="00E3398A" w:rsidRPr="00881CCE">
        <w:rPr>
          <w:rFonts w:ascii="Times New Roman" w:hAnsi="Times New Roman" w:cs="Times New Roman"/>
          <w:iCs/>
          <w:sz w:val="24"/>
          <w:szCs w:val="20"/>
        </w:rPr>
        <w:fldChar w:fldCharType="end"/>
      </w:r>
      <w:r w:rsidR="00E3398A">
        <w:rPr>
          <w:rFonts w:ascii="Times New Roman" w:hAnsi="Times New Roman" w:cs="Times New Roman"/>
          <w:iCs/>
          <w:sz w:val="24"/>
          <w:szCs w:val="20"/>
        </w:rPr>
        <w:t xml:space="preserve"> by </w:t>
      </w:r>
      <w:r w:rsidR="00E3398A" w:rsidRPr="00881CCE">
        <w:rPr>
          <w:rFonts w:ascii="Times New Roman" w:hAnsi="Times New Roman" w:cs="Times New Roman"/>
          <w:sz w:val="24"/>
          <w:szCs w:val="24"/>
        </w:rPr>
        <w:t xml:space="preserve">reshaping </w:t>
      </w:r>
      <w:r w:rsidR="00E3398A" w:rsidRPr="00881CCE">
        <w:rPr>
          <w:rFonts w:ascii="Times New Roman" w:hAnsi="Times New Roman" w:cs="Times New Roman"/>
          <w:i/>
          <w:sz w:val="24"/>
          <w:szCs w:val="24"/>
        </w:rPr>
        <w:t>their own</w:t>
      </w:r>
      <w:r w:rsidR="00E3398A" w:rsidRPr="00881CCE">
        <w:rPr>
          <w:rFonts w:ascii="Times New Roman" w:hAnsi="Times New Roman" w:cs="Times New Roman"/>
          <w:sz w:val="24"/>
          <w:szCs w:val="24"/>
        </w:rPr>
        <w:t xml:space="preserve"> apartments according to </w:t>
      </w:r>
      <w:r w:rsidR="00E3398A" w:rsidRPr="00881CCE">
        <w:rPr>
          <w:rFonts w:ascii="Times New Roman" w:hAnsi="Times New Roman" w:cs="Times New Roman"/>
          <w:i/>
          <w:sz w:val="24"/>
          <w:szCs w:val="24"/>
        </w:rPr>
        <w:t>their own</w:t>
      </w:r>
      <w:r w:rsidR="00E3398A" w:rsidRPr="00881CCE">
        <w:rPr>
          <w:rFonts w:ascii="Times New Roman" w:hAnsi="Times New Roman" w:cs="Times New Roman"/>
          <w:sz w:val="24"/>
          <w:szCs w:val="24"/>
        </w:rPr>
        <w:t xml:space="preserve"> needs and, more importantly, </w:t>
      </w:r>
      <w:r w:rsidR="00E3398A" w:rsidRPr="00881CCE">
        <w:rPr>
          <w:rFonts w:ascii="Times New Roman" w:hAnsi="Times New Roman" w:cs="Times New Roman"/>
          <w:i/>
          <w:sz w:val="24"/>
          <w:szCs w:val="24"/>
        </w:rPr>
        <w:t>their personal taste</w:t>
      </w:r>
      <w:r w:rsidR="00E3398A" w:rsidRPr="00881CCE">
        <w:rPr>
          <w:rFonts w:ascii="Times New Roman" w:hAnsi="Times New Roman" w:cs="Times New Roman"/>
          <w:sz w:val="24"/>
          <w:szCs w:val="24"/>
        </w:rPr>
        <w:t xml:space="preserve">. </w:t>
      </w:r>
      <w:r w:rsidR="006025F3">
        <w:rPr>
          <w:rFonts w:ascii="Times New Roman" w:hAnsi="Times New Roman" w:cs="Times New Roman"/>
          <w:sz w:val="24"/>
          <w:szCs w:val="20"/>
        </w:rPr>
        <w:t>These</w:t>
      </w:r>
      <w:r w:rsidR="006025F3" w:rsidRPr="00E3398A">
        <w:rPr>
          <w:rFonts w:ascii="Times New Roman" w:hAnsi="Times New Roman" w:cs="Times New Roman"/>
          <w:sz w:val="24"/>
          <w:szCs w:val="20"/>
        </w:rPr>
        <w:t xml:space="preserve"> informal practices </w:t>
      </w:r>
      <w:r w:rsidR="003A3CF3">
        <w:rPr>
          <w:rFonts w:ascii="Times New Roman" w:hAnsi="Times New Roman" w:cs="Times New Roman"/>
          <w:sz w:val="24"/>
          <w:szCs w:val="20"/>
        </w:rPr>
        <w:t xml:space="preserve">soon </w:t>
      </w:r>
      <w:r w:rsidR="006025F3" w:rsidRPr="00E3398A">
        <w:rPr>
          <w:rFonts w:ascii="Times New Roman" w:hAnsi="Times New Roman" w:cs="Times New Roman"/>
          <w:sz w:val="24"/>
          <w:szCs w:val="20"/>
        </w:rPr>
        <w:t xml:space="preserve">became so widespread and highly tolerated that ‘one might even hesitate to call them illegal’ </w:t>
      </w:r>
      <w:r w:rsidR="006025F3" w:rsidRPr="00E3398A">
        <w:rPr>
          <w:rFonts w:ascii="Times New Roman" w:hAnsi="Times New Roman" w:cs="Times New Roman"/>
          <w:sz w:val="24"/>
          <w:szCs w:val="20"/>
        </w:rPr>
        <w:fldChar w:fldCharType="begin"/>
      </w:r>
      <w:r w:rsidR="006025F3" w:rsidRPr="00E3398A">
        <w:rPr>
          <w:rFonts w:ascii="Times New Roman" w:hAnsi="Times New Roman" w:cs="Times New Roman"/>
          <w:sz w:val="24"/>
          <w:szCs w:val="20"/>
        </w:rPr>
        <w:instrText xml:space="preserve"> ADDIN EN.CITE &lt;EndNote&gt;&lt;Cite&gt;&lt;Author&gt;Petrovic&lt;/Author&gt;&lt;Year&gt;2005&lt;/Year&gt;&lt;RecNum&gt;171&lt;/RecNum&gt;&lt;Pages&gt;18&lt;/Pages&gt;&lt;DisplayText&gt;(Petrović, 2005, p. 18)&lt;/DisplayText&gt;&lt;record&gt;&lt;rec-number&gt;171&lt;/rec-number&gt;&lt;foreign-keys&gt;&lt;key app="EN" db-id="ewwwp2fe995e5ker9t4vfea55r92a0xxx9p5" timestamp="1444586138"&gt;171&lt;/key&gt;&lt;/foreign-keys&gt;&lt;ref-type name="Conference Paper"&gt;47&lt;/ref-type&gt;&lt;contributors&gt;&lt;authors&gt;&lt;author&gt;Petrović, Mina&lt;/author&gt;&lt;/authors&gt;&lt;/contributors&gt;&lt;titles&gt;&lt;title&gt;Cities after socialism as a research issue&lt;/title&gt;&lt;secondary-title&gt;Discussion papers (South East Europe series), DP34&lt;/secondary-title&gt;&lt;/titles&gt;&lt;dates&gt;&lt;year&gt;2005&lt;/year&gt;&lt;/dates&gt;&lt;pub-location&gt;Centre for the Study of Global Governance, London School of economics and political science, London, UK&lt;/pub-location&gt;&lt;urls&gt;&lt;/urls&gt;&lt;/record&gt;&lt;/Cite&gt;&lt;/EndNote&gt;</w:instrText>
      </w:r>
      <w:r w:rsidR="006025F3" w:rsidRPr="00E3398A">
        <w:rPr>
          <w:rFonts w:ascii="Times New Roman" w:hAnsi="Times New Roman" w:cs="Times New Roman"/>
          <w:sz w:val="24"/>
          <w:szCs w:val="20"/>
        </w:rPr>
        <w:fldChar w:fldCharType="separate"/>
      </w:r>
      <w:r w:rsidR="006025F3" w:rsidRPr="00E3398A">
        <w:rPr>
          <w:rFonts w:ascii="Times New Roman" w:hAnsi="Times New Roman" w:cs="Times New Roman"/>
          <w:noProof/>
          <w:sz w:val="24"/>
          <w:szCs w:val="20"/>
        </w:rPr>
        <w:t>(Petrović, 2005, p. 18)</w:t>
      </w:r>
      <w:r w:rsidR="006025F3" w:rsidRPr="00E3398A">
        <w:rPr>
          <w:rFonts w:ascii="Times New Roman" w:hAnsi="Times New Roman" w:cs="Times New Roman"/>
          <w:sz w:val="24"/>
          <w:szCs w:val="20"/>
        </w:rPr>
        <w:fldChar w:fldCharType="end"/>
      </w:r>
      <w:r w:rsidR="006025F3" w:rsidRPr="00E3398A">
        <w:rPr>
          <w:rFonts w:ascii="Times New Roman" w:hAnsi="Times New Roman" w:cs="Times New Roman"/>
          <w:sz w:val="24"/>
          <w:szCs w:val="20"/>
        </w:rPr>
        <w:t>.</w:t>
      </w:r>
      <w:r w:rsidR="006025F3">
        <w:rPr>
          <w:rFonts w:ascii="Times New Roman" w:hAnsi="Times New Roman" w:cs="Times New Roman"/>
          <w:sz w:val="24"/>
          <w:szCs w:val="20"/>
        </w:rPr>
        <w:t xml:space="preserve"> They led </w:t>
      </w:r>
      <w:r w:rsidR="006025F3">
        <w:rPr>
          <w:rFonts w:ascii="Times New Roman" w:hAnsi="Times New Roman" w:cs="Times New Roman"/>
          <w:sz w:val="24"/>
          <w:szCs w:val="24"/>
        </w:rPr>
        <w:t xml:space="preserve">to </w:t>
      </w:r>
      <w:r w:rsidR="00E3398A">
        <w:rPr>
          <w:rFonts w:ascii="Times New Roman" w:hAnsi="Times New Roman" w:cs="Times New Roman"/>
          <w:sz w:val="24"/>
          <w:szCs w:val="20"/>
        </w:rPr>
        <w:t xml:space="preserve">anarchy and </w:t>
      </w:r>
      <w:r w:rsidR="00E3398A" w:rsidRPr="00881CCE">
        <w:rPr>
          <w:rFonts w:ascii="Times New Roman" w:eastAsiaTheme="minorEastAsia" w:hAnsi="Times New Roman" w:cs="Times New Roman"/>
          <w:sz w:val="24"/>
          <w:szCs w:val="20"/>
        </w:rPr>
        <w:t>‘overwhelming feeling of disorder’</w:t>
      </w:r>
      <w:r w:rsidR="00E3398A" w:rsidRPr="00881C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398A" w:rsidRPr="00881CC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E3398A" w:rsidRPr="00881CCE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&lt;EndNote&gt;&lt;Cite&gt;&lt;Author&gt;Hirt&lt;/Author&gt;&lt;Year&gt;2012&lt;/Year&gt;&lt;RecNum&gt;166&lt;/RecNum&gt;&lt;Pages&gt;46&lt;/Pages&gt;&lt;DisplayText&gt;(Hirt, 2012, p. 46)&lt;/DisplayText&gt;&lt;record&gt;&lt;rec-number&gt;166&lt;/rec-number&gt;&lt;foreign-keys&gt;&lt;key app="EN" db-id="ewwwp2fe995e5ker9t4vfea55r92a0xxx9p5" timestamp="1444585795"&gt;166&lt;/key&gt;&lt;/foreign-keys&gt;&lt;ref-type name="Book"&gt;6&lt;/ref-type&gt;&lt;contributors&gt;&lt;authors&gt;&lt;author&gt;Hirt, Sonia A. &lt;/author&gt;&lt;/authors&gt;&lt;/contributors&gt;&lt;titles&gt;&lt;title&gt;Iron Curtains: Gates, Suburbs and Privatization of Space in Post-Socialist City&lt;/title&gt;&lt;/titles&gt;&lt;dates&gt;&lt;year&gt;2012&lt;/year&gt;&lt;/dates&gt;&lt;pub-location&gt;Chichester, UK&lt;/pub-location&gt;&lt;publisher&gt;Wiley-Blackwell&lt;/publisher&gt;&lt;urls&gt;&lt;/urls&gt;&lt;/record&gt;&lt;/Cite&gt;&lt;/EndNote&gt;</w:instrText>
      </w:r>
      <w:r w:rsidR="00E3398A" w:rsidRPr="00881CCE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E3398A" w:rsidRPr="00881CCE">
        <w:rPr>
          <w:rFonts w:ascii="Times New Roman" w:eastAsiaTheme="minorEastAsia" w:hAnsi="Times New Roman" w:cs="Times New Roman"/>
          <w:noProof/>
          <w:sz w:val="24"/>
          <w:szCs w:val="24"/>
        </w:rPr>
        <w:t>(Hirt, 2012, p. 46)</w:t>
      </w:r>
      <w:r w:rsidR="00E3398A" w:rsidRPr="00881CCE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6025F3">
        <w:rPr>
          <w:rFonts w:ascii="Times New Roman" w:eastAsiaTheme="minorEastAsia" w:hAnsi="Times New Roman" w:cs="Times New Roman"/>
          <w:sz w:val="24"/>
          <w:szCs w:val="24"/>
        </w:rPr>
        <w:t>, resulting in</w:t>
      </w:r>
      <w:r w:rsidR="006025F3" w:rsidRPr="00881C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25F3">
        <w:rPr>
          <w:rFonts w:ascii="Times New Roman" w:eastAsiaTheme="minorEastAsia" w:hAnsi="Times New Roman" w:cs="Times New Roman"/>
          <w:sz w:val="24"/>
          <w:szCs w:val="24"/>
        </w:rPr>
        <w:t xml:space="preserve">specific type of </w:t>
      </w:r>
      <w:r w:rsidR="006025F3" w:rsidRPr="00881CCE">
        <w:rPr>
          <w:rFonts w:ascii="Times New Roman" w:eastAsiaTheme="minorEastAsia" w:hAnsi="Times New Roman" w:cs="Times New Roman"/>
          <w:sz w:val="24"/>
          <w:szCs w:val="24"/>
        </w:rPr>
        <w:t>illegality</w:t>
      </w:r>
      <w:r w:rsidR="00E3398A" w:rsidRPr="00881CCE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w:r w:rsidR="00E3398A">
        <w:rPr>
          <w:rFonts w:ascii="Times New Roman" w:eastAsiaTheme="minorEastAsia" w:hAnsi="Times New Roman" w:cs="Times New Roman"/>
          <w:sz w:val="24"/>
          <w:szCs w:val="24"/>
        </w:rPr>
        <w:t>define as</w:t>
      </w:r>
      <w:r w:rsidR="00E3398A" w:rsidRPr="00881C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398A" w:rsidRPr="00881CCE">
        <w:rPr>
          <w:rFonts w:ascii="Times New Roman" w:hAnsi="Times New Roman" w:cs="Times New Roman"/>
          <w:i/>
          <w:sz w:val="24"/>
          <w:szCs w:val="24"/>
        </w:rPr>
        <w:t>the new residential landscapes</w:t>
      </w:r>
      <w:r w:rsidR="00E3398A" w:rsidRPr="00881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A2DAC" w14:textId="77777777" w:rsidR="001F5DE3" w:rsidRPr="001F5DE3" w:rsidRDefault="001F5DE3" w:rsidP="007119A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Objectives </w:t>
      </w:r>
    </w:p>
    <w:p w14:paraId="7D06E923" w14:textId="77777777" w:rsidR="0091704B" w:rsidRDefault="002658FC" w:rsidP="007119A0">
      <w:pPr>
        <w:shd w:val="clear" w:color="auto" w:fill="FFFFFF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1CCE">
        <w:rPr>
          <w:rFonts w:ascii="Times New Roman" w:hAnsi="Times New Roman" w:cs="Times New Roman"/>
          <w:sz w:val="24"/>
          <w:szCs w:val="24"/>
        </w:rPr>
        <w:t>Since no research</w:t>
      </w:r>
      <w:r>
        <w:rPr>
          <w:rFonts w:ascii="Times New Roman" w:hAnsi="Times New Roman" w:cs="Times New Roman"/>
          <w:sz w:val="24"/>
          <w:szCs w:val="24"/>
        </w:rPr>
        <w:t xml:space="preserve"> was ever done on this matter, this paper</w:t>
      </w:r>
      <w:r w:rsidRPr="00881CCE">
        <w:rPr>
          <w:rFonts w:ascii="Times New Roman" w:hAnsi="Times New Roman" w:cs="Times New Roman"/>
          <w:sz w:val="24"/>
          <w:szCs w:val="24"/>
        </w:rPr>
        <w:t xml:space="preserve"> aim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81CCE">
        <w:rPr>
          <w:rFonts w:ascii="Times New Roman" w:hAnsi="Times New Roman" w:cs="Times New Roman"/>
          <w:sz w:val="24"/>
          <w:szCs w:val="24"/>
        </w:rPr>
        <w:t xml:space="preserve"> to add more of an unde</w:t>
      </w:r>
      <w:r>
        <w:rPr>
          <w:rFonts w:ascii="Times New Roman" w:hAnsi="Times New Roman" w:cs="Times New Roman"/>
          <w:sz w:val="24"/>
          <w:szCs w:val="24"/>
        </w:rPr>
        <w:t xml:space="preserve">rstanding </w:t>
      </w:r>
      <w:r w:rsidR="00C22F34">
        <w:rPr>
          <w:rFonts w:ascii="Times New Roman" w:hAnsi="Times New Roman" w:cs="Times New Roman"/>
          <w:sz w:val="24"/>
          <w:szCs w:val="20"/>
        </w:rPr>
        <w:t xml:space="preserve">on </w:t>
      </w:r>
      <w:r w:rsidR="00C22F34" w:rsidRPr="0091704B">
        <w:rPr>
          <w:rFonts w:ascii="Times New Roman" w:hAnsi="Times New Roman" w:cs="Times New Roman"/>
          <w:sz w:val="24"/>
          <w:szCs w:val="20"/>
        </w:rPr>
        <w:t>how and to what extent the neighbourhood of Star</w:t>
      </w:r>
      <w:r w:rsidR="00C22F34" w:rsidRPr="0091704B">
        <w:rPr>
          <w:rFonts w:ascii="Times New Roman" w:eastAsia="Times New Roman" w:hAnsi="Times New Roman" w:cs="Times New Roman"/>
          <w:bCs/>
          <w:color w:val="252525"/>
          <w:sz w:val="24"/>
          <w:szCs w:val="20"/>
          <w:lang w:eastAsia="de-DE"/>
        </w:rPr>
        <w:t>č</w:t>
      </w:r>
      <w:r w:rsidR="00C22F34" w:rsidRPr="0091704B">
        <w:rPr>
          <w:rFonts w:ascii="Times New Roman" w:hAnsi="Times New Roman" w:cs="Times New Roman"/>
          <w:sz w:val="24"/>
          <w:szCs w:val="20"/>
        </w:rPr>
        <w:t>evica</w:t>
      </w:r>
      <w:r w:rsidR="003A3CF3">
        <w:rPr>
          <w:rFonts w:ascii="Times New Roman" w:hAnsi="Times New Roman" w:cs="Times New Roman"/>
          <w:sz w:val="24"/>
          <w:szCs w:val="20"/>
        </w:rPr>
        <w:t xml:space="preserve"> in B</w:t>
      </w:r>
      <w:r w:rsidR="00D65F71">
        <w:rPr>
          <w:rFonts w:ascii="Times New Roman" w:hAnsi="Times New Roman" w:cs="Times New Roman"/>
          <w:sz w:val="24"/>
          <w:szCs w:val="20"/>
        </w:rPr>
        <w:t>anja Luka, Bosnia and Herzegovina,</w:t>
      </w:r>
      <w:r w:rsidR="00C22F34" w:rsidRPr="0091704B">
        <w:rPr>
          <w:rFonts w:ascii="Times New Roman" w:hAnsi="Times New Roman" w:cs="Times New Roman"/>
          <w:sz w:val="24"/>
          <w:szCs w:val="20"/>
        </w:rPr>
        <w:t xml:space="preserve"> </w:t>
      </w:r>
      <w:r w:rsidR="003A3CF3">
        <w:rPr>
          <w:rFonts w:ascii="Times New Roman" w:hAnsi="Times New Roman" w:cs="Times New Roman"/>
          <w:sz w:val="24"/>
          <w:szCs w:val="20"/>
        </w:rPr>
        <w:t>was</w:t>
      </w:r>
      <w:r w:rsidR="00C22F34" w:rsidRPr="0091704B">
        <w:rPr>
          <w:rFonts w:ascii="Times New Roman" w:hAnsi="Times New Roman" w:cs="Times New Roman"/>
          <w:sz w:val="24"/>
          <w:szCs w:val="20"/>
        </w:rPr>
        <w:t xml:space="preserve"> changed by the induction of </w:t>
      </w:r>
      <w:r w:rsidR="00C22F34" w:rsidRPr="0091704B">
        <w:rPr>
          <w:rFonts w:ascii="Times New Roman" w:hAnsi="Times New Roman" w:cs="Times New Roman"/>
          <w:i/>
          <w:sz w:val="24"/>
          <w:szCs w:val="20"/>
        </w:rPr>
        <w:t>the external force</w:t>
      </w:r>
      <w:r w:rsidR="00C22F34" w:rsidRPr="0091704B">
        <w:rPr>
          <w:rFonts w:ascii="Times New Roman" w:hAnsi="Times New Roman" w:cs="Times New Roman"/>
          <w:sz w:val="24"/>
          <w:szCs w:val="20"/>
        </w:rPr>
        <w:t xml:space="preserve"> – e.g. the phenomenon of privatisation. </w:t>
      </w:r>
      <w:r w:rsidR="00C22F34" w:rsidRPr="00881CCE">
        <w:rPr>
          <w:rFonts w:ascii="Times New Roman" w:hAnsi="Times New Roman" w:cs="Times New Roman"/>
          <w:sz w:val="24"/>
          <w:szCs w:val="24"/>
        </w:rPr>
        <w:t xml:space="preserve">How has the change of the ownership pattern contributed to the </w:t>
      </w:r>
      <w:r w:rsidR="00C22F34" w:rsidRPr="00881CCE"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emergent of the new means of the local population’s behaviour and, moreover, what I call </w:t>
      </w:r>
      <w:r w:rsidR="00C22F34" w:rsidRPr="00881CCE">
        <w:rPr>
          <w:rFonts w:ascii="Times New Roman" w:hAnsi="Times New Roman" w:cs="Times New Roman"/>
          <w:i/>
          <w:color w:val="141823"/>
          <w:sz w:val="24"/>
          <w:szCs w:val="24"/>
          <w:lang w:eastAsia="de-DE"/>
        </w:rPr>
        <w:t>the new residential landscapes</w:t>
      </w:r>
      <w:r w:rsidR="00C22F34" w:rsidRPr="00881CCE"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? To what </w:t>
      </w:r>
      <w:r w:rsidR="00C22F34">
        <w:rPr>
          <w:rFonts w:ascii="Times New Roman" w:hAnsi="Times New Roman" w:cs="Times New Roman"/>
          <w:color w:val="141823"/>
          <w:sz w:val="24"/>
          <w:szCs w:val="24"/>
          <w:lang w:eastAsia="de-DE"/>
        </w:rPr>
        <w:t>extent have th</w:t>
      </w:r>
      <w:r w:rsidR="00C22F34" w:rsidRPr="00881CCE"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e ‘new practices </w:t>
      </w:r>
      <w:r w:rsidR="00C22F34" w:rsidRPr="00881CCE">
        <w:rPr>
          <w:rFonts w:ascii="Times New Roman" w:eastAsiaTheme="minorEastAsia" w:hAnsi="Times New Roman" w:cs="Times New Roman"/>
          <w:sz w:val="24"/>
          <w:szCs w:val="24"/>
        </w:rPr>
        <w:t xml:space="preserve">of private usurpation, withdrawal and partition’ </w:t>
      </w:r>
      <w:r w:rsidR="00C22F34" w:rsidRPr="00881CC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C22F34" w:rsidRPr="00881CCE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&lt;EndNote&gt;&lt;Cite&gt;&lt;Author&gt;Hirt&lt;/Author&gt;&lt;Year&gt;2012&lt;/Year&gt;&lt;RecNum&gt;166&lt;/RecNum&gt;&lt;Pages&gt;49&lt;/Pages&gt;&lt;DisplayText&gt;(Hirt, 2012, p. 49)&lt;/DisplayText&gt;&lt;record&gt;&lt;rec-number&gt;166&lt;/rec-number&gt;&lt;foreign-keys&gt;&lt;key app="EN" db-id="ewwwp2fe995e5ker9t4vfea55r92a0xxx9p5" timestamp="1444585795"&gt;166&lt;/key&gt;&lt;/foreign-keys&gt;&lt;ref-type name="Book"&gt;6&lt;/ref-type&gt;&lt;contributors&gt;&lt;authors&gt;&lt;author&gt;Hirt, Sonia A. &lt;/author&gt;&lt;/authors&gt;&lt;/contributors&gt;&lt;titles&gt;&lt;title&gt;Iron Curtains: Gates, Suburbs and Privatization of Space in Post-Socialist City&lt;/title&gt;&lt;/titles&gt;&lt;dates&gt;&lt;year&gt;2012&lt;/year&gt;&lt;/dates&gt;&lt;pub-location&gt;Chichester, UK&lt;/pub-location&gt;&lt;publisher&gt;Wiley-Blackwell&lt;/publisher&gt;&lt;urls&gt;&lt;/urls&gt;&lt;/record&gt;&lt;/Cite&gt;&lt;/EndNote&gt;</w:instrText>
      </w:r>
      <w:r w:rsidR="00C22F34" w:rsidRPr="00881CCE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C22F34" w:rsidRPr="00881CCE">
        <w:rPr>
          <w:rFonts w:ascii="Times New Roman" w:eastAsiaTheme="minorEastAsia" w:hAnsi="Times New Roman" w:cs="Times New Roman"/>
          <w:noProof/>
          <w:sz w:val="24"/>
          <w:szCs w:val="24"/>
        </w:rPr>
        <w:t>(Hirt, 2012, p. 49)</w:t>
      </w:r>
      <w:r w:rsidR="00C22F34" w:rsidRPr="00881CCE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C22F34" w:rsidRPr="00881CCE">
        <w:rPr>
          <w:rFonts w:ascii="Times New Roman" w:eastAsiaTheme="minorEastAsia" w:hAnsi="Times New Roman" w:cs="Times New Roman"/>
          <w:sz w:val="24"/>
          <w:szCs w:val="24"/>
        </w:rPr>
        <w:t xml:space="preserve"> altered </w:t>
      </w:r>
      <w:r w:rsidR="00C22F34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Starčevica</w:t>
      </w:r>
      <w:r w:rsidR="00C22F34" w:rsidRPr="00881CCE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C22F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81CCE">
        <w:rPr>
          <w:rFonts w:ascii="Times New Roman" w:hAnsi="Times New Roman" w:cs="Times New Roman"/>
          <w:sz w:val="24"/>
          <w:szCs w:val="24"/>
        </w:rPr>
        <w:t xml:space="preserve">In addition, taking into account that most of the researchers dealing with the (post-socialist) transformation of former Yugoslav cities have so far mainly focused on Belgrade, the capital of Serbia, believing that ‘socialist housing policy outcomes were the most visible in big cities’ </w:t>
      </w:r>
      <w:r w:rsidRPr="00881CCE">
        <w:rPr>
          <w:rFonts w:ascii="Times New Roman" w:hAnsi="Times New Roman" w:cs="Times New Roman"/>
          <w:sz w:val="24"/>
          <w:szCs w:val="24"/>
        </w:rPr>
        <w:fldChar w:fldCharType="begin"/>
      </w:r>
      <w:r w:rsidRPr="00881CC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&lt;EndNote&gt;&lt;Cite&gt;&lt;Author&gt;Petrovic&lt;/Author&gt;&lt;Year&gt;2001&lt;/Year&gt;&lt;RecNum&gt;163&lt;/RecNum&gt;&lt;Pages&gt;217&lt;/Pages&gt;&lt;DisplayText&gt;(Petrović, 2001, p. 217)&lt;/DisplayText&gt;&lt;record&gt;&lt;rec-number&gt;163&lt;/rec-number&gt;&lt;foreign-keys&gt;&lt;key app="EN" db-id="ewwwp2fe995e5ker9t4vfea55r92a0xxx9p5" timestamp="1444475691"&gt;163&lt;/key&gt;&lt;/foreign-keys&gt;&lt;ref-type name="Journal Article"&gt;17&lt;/ref-type&gt;&lt;contributors&gt;&lt;authors&gt;&lt;author&gt;Petrović, Mina&lt;/author&gt;&lt;/authors&gt;&lt;/contributors&gt;&lt;titles&gt;&lt;title&gt;Post-socialist housing policy transformation in Yugoslavia and Belgrade&lt;/title&gt;&lt;secondary-title&gt;International Journal of Housing Policy &lt;/secondary-title&gt;&lt;/titles&gt;&lt;periodical&gt;&lt;full-title&gt;International Journal of Housing Policy&lt;/full-title&gt;&lt;/periodical&gt;&lt;pages&gt;211-231&lt;/pages&gt;&lt;volume&gt;1&lt;/volume&gt;&lt;number&gt;1&lt;/number&gt;&lt;dates&gt;&lt;year&gt;2001&lt;/year&gt;&lt;/dates&gt;&lt;urls&gt;&lt;/urls&gt;&lt;/record&gt;&lt;/Cite&gt;&lt;/EndNote&gt;</w:instrText>
      </w:r>
      <w:r w:rsidRPr="00881CCE">
        <w:rPr>
          <w:rFonts w:ascii="Times New Roman" w:hAnsi="Times New Roman" w:cs="Times New Roman"/>
          <w:sz w:val="24"/>
          <w:szCs w:val="24"/>
        </w:rPr>
        <w:fldChar w:fldCharType="separate"/>
      </w:r>
      <w:r w:rsidRPr="00881CCE">
        <w:rPr>
          <w:rFonts w:ascii="Times New Roman" w:hAnsi="Times New Roman" w:cs="Times New Roman"/>
          <w:noProof/>
          <w:sz w:val="24"/>
          <w:szCs w:val="24"/>
        </w:rPr>
        <w:t>(Petrović, 2001, p. 217)</w:t>
      </w:r>
      <w:r w:rsidRPr="00881CCE">
        <w:rPr>
          <w:rFonts w:ascii="Times New Roman" w:hAnsi="Times New Roman" w:cs="Times New Roman"/>
          <w:sz w:val="24"/>
          <w:szCs w:val="24"/>
        </w:rPr>
        <w:fldChar w:fldCharType="end"/>
      </w:r>
      <w:r w:rsidRPr="00881CCE">
        <w:rPr>
          <w:rFonts w:ascii="Times New Roman" w:hAnsi="Times New Roman" w:cs="Times New Roman"/>
          <w:sz w:val="24"/>
          <w:szCs w:val="24"/>
        </w:rPr>
        <w:t xml:space="preserve">, this paper </w:t>
      </w:r>
      <w:r>
        <w:rPr>
          <w:rFonts w:ascii="Times New Roman" w:hAnsi="Times New Roman" w:cs="Times New Roman"/>
          <w:sz w:val="24"/>
          <w:szCs w:val="24"/>
        </w:rPr>
        <w:t>contributes to the body of knowledge by explaining</w:t>
      </w:r>
      <w:r w:rsidRPr="00881CCE">
        <w:rPr>
          <w:rFonts w:ascii="Times New Roman" w:hAnsi="Times New Roman" w:cs="Times New Roman"/>
          <w:sz w:val="24"/>
          <w:szCs w:val="24"/>
        </w:rPr>
        <w:t xml:space="preserve"> the extent and the outcomes of the transformation of a former Yugoslav medium-sized city of Banja Luka.</w:t>
      </w:r>
      <w:r w:rsidR="001F5D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D2AD2C3" w14:textId="77777777" w:rsidR="0091704B" w:rsidRDefault="0091704B" w:rsidP="007119A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Methodology</w:t>
      </w:r>
    </w:p>
    <w:p w14:paraId="3EE43DCF" w14:textId="77777777" w:rsidR="0091704B" w:rsidRPr="00881CCE" w:rsidRDefault="0015382D" w:rsidP="007119A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The paper</w:t>
      </w:r>
      <w:r w:rsidR="0091704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analyses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various academic works dealing with the processes of </w:t>
      </w:r>
      <w:r w:rsidR="0091704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post-socialist transformation, as well as laws</w:t>
      </w:r>
      <w:r w:rsidR="00C22F3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,</w:t>
      </w:r>
      <w:r w:rsidR="0091704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legislations and 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studies related to </w:t>
      </w:r>
      <w:r w:rsidR="00C22F3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former 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Yugoslav housing system and the housing policy of the city of Banja Luka itself. </w:t>
      </w:r>
      <w:r w:rsidR="0091704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S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ignificant amount of</w:t>
      </w:r>
      <w:r w:rsidR="0091704B" w:rsidRPr="001F5DE3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the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data </w:t>
      </w:r>
      <w:r w:rsidR="0091704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is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obtained from </w:t>
      </w:r>
      <w:r w:rsidR="00D65F7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the 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press reports. H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owever, since the </w:t>
      </w:r>
      <w:r w:rsidR="00C22F3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paper primarily</w:t>
      </w:r>
      <w:r w:rsidR="0091704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aim</w:t>
      </w:r>
      <w:r w:rsidR="00C22F3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s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to get as close as possible to </w:t>
      </w:r>
      <w:r w:rsidR="0091704B" w:rsidRPr="00881CCE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de-DE"/>
        </w:rPr>
        <w:t>the human experience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the author’s 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personal experience of the resident of the neighbourhood </w:t>
      </w:r>
      <w:r w:rsidR="00C22F3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is employed 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in order to obtain </w:t>
      </w:r>
      <w:r w:rsidR="0091704B" w:rsidRPr="00881CCE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de-DE"/>
        </w:rPr>
        <w:t>more personal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information, including anecdotal evidences. Apart from that, the online questionnaire 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is 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created for the purpose of getting </w:t>
      </w:r>
      <w:r w:rsidR="0091704B" w:rsidRPr="00881CCE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de-DE"/>
        </w:rPr>
        <w:t>more personal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feedback regarding the daily life experienc</w:t>
      </w:r>
      <w:r w:rsidR="00D65F7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e of the homeowners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.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However, </w:t>
      </w:r>
      <w:r w:rsidR="0091704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the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research </w:t>
      </w:r>
      <w:r w:rsidR="0091704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is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largely based on personal observations and the use of what one of</w:t>
      </w:r>
      <w:r w:rsidR="00D65F7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the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author’s</w:t>
      </w:r>
      <w:r w:rsidR="0091704B"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 xml:space="preserve"> former professors, Filip De Boeck, defined as ‘the anthropological approach of “the vocabulary of the legs”’ – e.g. lots of long walks and photographs taken. </w:t>
      </w:r>
    </w:p>
    <w:p w14:paraId="5524062A" w14:textId="77777777" w:rsidR="00C944FE" w:rsidRDefault="00C944FE" w:rsidP="007119A0">
      <w:pPr>
        <w:shd w:val="clear" w:color="auto" w:fill="FFFFFF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20D5C89" w14:textId="65039685" w:rsidR="006025F3" w:rsidRDefault="0091704B" w:rsidP="007119A0">
      <w:pPr>
        <w:shd w:val="clear" w:color="auto" w:fill="FFFFFF"/>
        <w:tabs>
          <w:tab w:val="left" w:pos="5760"/>
        </w:tabs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4. Main results and contributions </w:t>
      </w:r>
      <w:r w:rsidR="007119A0"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0" w:name="_GoBack"/>
      <w:bookmarkEnd w:id="0"/>
    </w:p>
    <w:p w14:paraId="35A3E776" w14:textId="77777777" w:rsidR="00C944FE" w:rsidRPr="00C944FE" w:rsidRDefault="00C944FE" w:rsidP="007119A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The paper is divided in four parts. 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firstly 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explain how the neighbourhood of </w:t>
      </w:r>
      <w:r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Starčevica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81CCE">
        <w:rPr>
          <w:rFonts w:ascii="Times New Roman" w:eastAsiaTheme="minorEastAsia" w:hAnsi="Times New Roman" w:cs="Times New Roman"/>
          <w:i/>
          <w:sz w:val="24"/>
          <w:szCs w:val="24"/>
        </w:rPr>
        <w:t xml:space="preserve">came to 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be, in order to point out its significance for the local housing policy, as well as its relevance for the city of Banja Luka itself. Secondly, I describe </w:t>
      </w:r>
      <w:r w:rsidRPr="0015382D">
        <w:rPr>
          <w:rFonts w:ascii="Times New Roman" w:eastAsiaTheme="minorEastAsia" w:hAnsi="Times New Roman" w:cs="Times New Roman"/>
          <w:i/>
          <w:sz w:val="24"/>
          <w:szCs w:val="24"/>
        </w:rPr>
        <w:t>the roots of the change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, offering an overview of the process of privatisation, in order to explain why </w:t>
      </w:r>
      <w:r w:rsidRPr="00881CCE">
        <w:rPr>
          <w:rFonts w:ascii="Times New Roman" w:hAnsi="Times New Roman" w:cs="Times New Roman"/>
          <w:sz w:val="24"/>
          <w:szCs w:val="24"/>
        </w:rPr>
        <w:t xml:space="preserve">hardly anyone resisted becoming an </w:t>
      </w:r>
      <w:r w:rsidRPr="00881CCE">
        <w:rPr>
          <w:rFonts w:ascii="Times New Roman" w:hAnsi="Times New Roman" w:cs="Times New Roman"/>
          <w:i/>
          <w:sz w:val="24"/>
          <w:szCs w:val="24"/>
        </w:rPr>
        <w:t>owner</w:t>
      </w:r>
      <w:r w:rsidRPr="00881CCE">
        <w:rPr>
          <w:rFonts w:ascii="Times New Roman" w:hAnsi="Times New Roman" w:cs="Times New Roman"/>
          <w:sz w:val="24"/>
          <w:szCs w:val="24"/>
        </w:rPr>
        <w:t xml:space="preserve"> of </w:t>
      </w:r>
      <w:r w:rsidRPr="00881CCE">
        <w:rPr>
          <w:rFonts w:ascii="Times New Roman" w:hAnsi="Times New Roman" w:cs="Times New Roman"/>
          <w:i/>
          <w:sz w:val="24"/>
          <w:szCs w:val="24"/>
        </w:rPr>
        <w:t>their own</w:t>
      </w:r>
      <w:r w:rsidRPr="00881CCE">
        <w:rPr>
          <w:rFonts w:ascii="Times New Roman" w:hAnsi="Times New Roman" w:cs="Times New Roman"/>
          <w:sz w:val="24"/>
          <w:szCs w:val="24"/>
        </w:rPr>
        <w:t xml:space="preserve"> property.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 In the third part of the paper, I describe the outcomes of the privatisation – e.g. the visual change of the neighbourhood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the rise of the </w:t>
      </w:r>
      <w:r w:rsidRPr="00881CCE">
        <w:rPr>
          <w:rFonts w:ascii="Times New Roman" w:eastAsiaTheme="minorEastAsia" w:hAnsi="Times New Roman" w:cs="Times New Roman"/>
          <w:i/>
          <w:sz w:val="24"/>
          <w:szCs w:val="24"/>
        </w:rPr>
        <w:t>spatial secessions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e.g. 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‘the wilful act of disjoining, disassociating, or carving space for oneself from the urban commons’ 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&lt;EndNote&gt;&lt;Cite&gt;&lt;Author&gt;Hirt&lt;/Author&gt;&lt;Year&gt;2012&lt;/Year&gt;&lt;RecNum&gt;166&lt;/RecNum&gt;&lt;Pages&gt;49&lt;/Pages&gt;&lt;DisplayText&gt;(Hirt, 2012, p. 49)&lt;/DisplayText&gt;&lt;record&gt;&lt;rec-number&gt;166&lt;/rec-number&gt;&lt;foreign-keys&gt;&lt;key app="EN" db-id="ewwwp2fe995e5ker9t4vfea55r92a0xxx9p5" timestamp="1444585795"&gt;166&lt;/key&gt;&lt;/foreign-keys&gt;&lt;ref-type name="Book"&gt;6&lt;/ref-type&gt;&lt;contributors&gt;&lt;authors&gt;&lt;author&gt;Hirt, Sonia A. &lt;/author&gt;&lt;/authors&gt;&lt;/contributors&gt;&lt;titles&gt;&lt;title&gt;Iron Curtains: Gates, Suburbs and Privatization of Space in Post-Socialist City&lt;/title&gt;&lt;/titles&gt;&lt;dates&gt;&lt;year&gt;2012&lt;/year&gt;&lt;/dates&gt;&lt;pub-location&gt;Chichester, UK&lt;/pub-location&gt;&lt;publisher&gt;Wiley-Blackwell&lt;/publisher&gt;&lt;urls&gt;&lt;/urls&gt;&lt;/record&gt;&lt;/Cite&gt;&lt;/EndNote&gt;</w:instrTex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881CCE">
        <w:rPr>
          <w:rFonts w:ascii="Times New Roman" w:eastAsiaTheme="minorEastAsia" w:hAnsi="Times New Roman" w:cs="Times New Roman"/>
          <w:noProof/>
          <w:sz w:val="24"/>
          <w:szCs w:val="24"/>
        </w:rPr>
        <w:t>(Hirt, 2012, p. 49)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81CCE"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I </w:t>
      </w:r>
      <w:r>
        <w:rPr>
          <w:rFonts w:ascii="Times New Roman" w:hAnsi="Times New Roman" w:cs="Times New Roman"/>
          <w:color w:val="141823"/>
          <w:sz w:val="24"/>
          <w:szCs w:val="24"/>
          <w:lang w:eastAsia="de-DE"/>
        </w:rPr>
        <w:t>argue that</w:t>
      </w:r>
      <w:r w:rsidRPr="00881CCE"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privatisation served as the</w:t>
      </w:r>
      <w:r w:rsidRPr="00881CCE">
        <w:rPr>
          <w:rFonts w:ascii="Times New Roman" w:eastAsiaTheme="minorEastAsia" w:hAnsi="Times New Roman" w:cs="Times New Roman"/>
          <w:sz w:val="24"/>
          <w:szCs w:val="24"/>
        </w:rPr>
        <w:t xml:space="preserve"> catalyst </w:t>
      </w:r>
      <w:r w:rsidRPr="00881CCE"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for the </w:t>
      </w:r>
      <w:r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emergence of </w:t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t xml:space="preserve">‘a particular mass mind-set’ – e.g. the one ‘that pursues the perpetual decomposition of urban commonality not only with impunity but also without regrets’ </w:t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fldChar w:fldCharType="begin"/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instrText xml:space="preserve"> ADDIN EN.CITE &lt;EndNote&gt;&lt;Cite&gt;&lt;Author&gt;Hirt&lt;/Author&gt;&lt;Year&gt;2012&lt;/Year&gt;&lt;RecNum&gt;166&lt;/RecNum&gt;&lt;Pages&gt;56&lt;/Pages&gt;&lt;DisplayText&gt;(Hirt, 2012, p. 56)&lt;/DisplayText&gt;&lt;record&gt;&lt;rec-number&gt;166&lt;/rec-number&gt;&lt;foreign-keys&gt;&lt;key app="EN" db-id="ewwwp2fe995e5ker9t4vfea55r92a0xxx9p5" timestamp="1444585795"&gt;166&lt;/key&gt;&lt;/foreign-keys&gt;&lt;ref-type name="Book"&gt;6&lt;/ref-type&gt;&lt;contributors&gt;&lt;authors&gt;&lt;author&gt;Hirt, Sonia A. &lt;/author&gt;&lt;/authors&gt;&lt;/contributors&gt;&lt;titles&gt;&lt;title&gt;Iron Curtains: Gates, Suburbs and Privatization of Space in Post-Socialist City&lt;/title&gt;&lt;/titles&gt;&lt;dates&gt;&lt;year&gt;2012&lt;/year&gt;&lt;/dates&gt;&lt;pub-location&gt;Chichester, UK&lt;/pub-location&gt;&lt;publisher&gt;Wiley-Blackwell&lt;/publisher&gt;&lt;urls&gt;&lt;/urls&gt;&lt;/record&gt;&lt;/Cite&gt;&lt;/EndNote&gt;</w:instrText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fldChar w:fldCharType="separate"/>
      </w:r>
      <w:r w:rsidRPr="00E3398A">
        <w:rPr>
          <w:rFonts w:ascii="Times New Roman" w:eastAsiaTheme="minorEastAsia" w:hAnsi="Times New Roman" w:cs="Times New Roman"/>
          <w:noProof/>
          <w:sz w:val="24"/>
          <w:szCs w:val="20"/>
        </w:rPr>
        <w:t>(Hirt, 2012, p. 56)</w:t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fldChar w:fldCharType="end"/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t>.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 aim to conclude that </w:t>
      </w:r>
      <w:r w:rsidRPr="00881CCE"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privatisation of socially owned apartments in </w:t>
      </w:r>
      <w:r w:rsidRPr="00881CC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de-DE"/>
        </w:rPr>
        <w:t>Starčevica</w:t>
      </w:r>
      <w:r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 led to </w:t>
      </w:r>
      <w:r w:rsidRPr="00881CCE"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personal taste </w:t>
      </w:r>
      <w:r w:rsidRPr="00881CCE">
        <w:rPr>
          <w:rFonts w:ascii="Times New Roman" w:hAnsi="Times New Roman" w:cs="Times New Roman"/>
          <w:sz w:val="24"/>
          <w:szCs w:val="24"/>
        </w:rPr>
        <w:t xml:space="preserve">being adopted as ‘a significant landscape management canon’ </w:t>
      </w:r>
      <w:r w:rsidRPr="00881CCE">
        <w:rPr>
          <w:rFonts w:ascii="Times New Roman" w:hAnsi="Times New Roman" w:cs="Times New Roman"/>
          <w:sz w:val="24"/>
          <w:szCs w:val="24"/>
        </w:rPr>
        <w:fldChar w:fldCharType="begin"/>
      </w:r>
      <w:r w:rsidRPr="00881CC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&lt;EndNote&gt;&lt;Cite&gt;&lt;Author&gt;Czepczyński&lt;/Author&gt;&lt;Year&gt;2008&lt;/Year&gt;&lt;RecNum&gt;167&lt;/RecNum&gt;&lt;Pages&gt;150&lt;/Pages&gt;&lt;DisplayText&gt;(Czepczyński, 2008, p. 150)&lt;/DisplayText&gt;&lt;record&gt;&lt;rec-number&gt;167&lt;/rec-number&gt;&lt;foreign-keys&gt;&lt;key app="EN" db-id="ewwwp2fe995e5ker9t4vfea55r92a0xxx9p5" timestamp="1444585795"&gt;167&lt;/key&gt;&lt;/foreign-keys&gt;&lt;ref-type name="Book"&gt;6&lt;/ref-type&gt;&lt;contributors&gt;&lt;authors&gt;&lt;author&gt;Czepczyński, Mariusz (Ed.)&lt;/author&gt;&lt;/authors&gt;&lt;tertiary-authors&gt;&lt;author&gt;Czepczyński, Mariusz&lt;/author&gt;&lt;/tertiary-authors&gt;&lt;/contributors&gt;&lt;titles&gt;&lt;title&gt;Cultural landscapes of post-socialist cities : representation of powers and needs&lt;/title&gt;&lt;/titles&gt;&lt;dates&gt;&lt;year&gt;2008&lt;/year&gt;&lt;/dates&gt;&lt;publisher&gt;Ashgate Publishing Ltd.&lt;/publisher&gt;&lt;urls&gt;&lt;/urls&gt;&lt;/record&gt;&lt;/Cite&gt;&lt;/EndNote&gt;</w:instrText>
      </w:r>
      <w:r w:rsidRPr="00881CCE">
        <w:rPr>
          <w:rFonts w:ascii="Times New Roman" w:hAnsi="Times New Roman" w:cs="Times New Roman"/>
          <w:sz w:val="24"/>
          <w:szCs w:val="24"/>
        </w:rPr>
        <w:fldChar w:fldCharType="separate"/>
      </w:r>
      <w:r w:rsidRPr="00881CCE">
        <w:rPr>
          <w:rFonts w:ascii="Times New Roman" w:hAnsi="Times New Roman" w:cs="Times New Roman"/>
          <w:noProof/>
          <w:sz w:val="24"/>
          <w:szCs w:val="24"/>
        </w:rPr>
        <w:t>(Czepczyński, 2008, p. 150)</w:t>
      </w:r>
      <w:r w:rsidRPr="00881CC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which resulted in the </w:t>
      </w:r>
      <w:r w:rsidRPr="00E3398A">
        <w:rPr>
          <w:rFonts w:ascii="Times New Roman" w:eastAsiaTheme="minorEastAsia" w:hAnsi="Times New Roman" w:cs="Times New Roman"/>
          <w:i/>
          <w:sz w:val="24"/>
          <w:szCs w:val="20"/>
        </w:rPr>
        <w:t>illegality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 w:rsidRPr="003A3CF3">
        <w:rPr>
          <w:rFonts w:ascii="Times New Roman" w:eastAsiaTheme="minorEastAsia" w:hAnsi="Times New Roman" w:cs="Times New Roman"/>
          <w:sz w:val="24"/>
          <w:szCs w:val="20"/>
        </w:rPr>
        <w:t>that</w:t>
      </w:r>
      <w:r>
        <w:rPr>
          <w:rFonts w:ascii="Times New Roman" w:eastAsiaTheme="minorEastAsia" w:hAnsi="Times New Roman" w:cs="Times New Roman"/>
          <w:i/>
          <w:sz w:val="24"/>
          <w:szCs w:val="20"/>
        </w:rPr>
        <w:t xml:space="preserve"> </w:t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t xml:space="preserve">‘attained such an air of banality and ordinariness’ </w:t>
      </w:r>
      <w:r>
        <w:rPr>
          <w:rFonts w:ascii="Times New Roman" w:eastAsiaTheme="minorEastAsia" w:hAnsi="Times New Roman" w:cs="Times New Roman"/>
          <w:sz w:val="24"/>
          <w:szCs w:val="20"/>
        </w:rPr>
        <w:t>it became</w:t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t xml:space="preserve"> the new ‘social norm’ </w:t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fldChar w:fldCharType="begin"/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instrText xml:space="preserve"> ADDIN EN.CITE &lt;EndNote&gt;&lt;Cite&gt;&lt;Author&gt;Hirt&lt;/Author&gt;&lt;Year&gt;2012&lt;/Year&gt;&lt;RecNum&gt;166&lt;/RecNum&gt;&lt;Pages&gt;56&lt;/Pages&gt;&lt;DisplayText&gt;(Hirt, 2012, p. 56)&lt;/DisplayText&gt;&lt;record&gt;&lt;rec-number&gt;166&lt;/rec-number&gt;&lt;foreign-keys&gt;&lt;key app="EN" db-id="ewwwp2fe995e5ker9t4vfea55r92a0xxx9p5" timestamp="1444585795"&gt;166&lt;/key&gt;&lt;/foreign-keys&gt;&lt;ref-type name="Book"&gt;6&lt;/ref-type&gt;&lt;contributors&gt;&lt;authors&gt;&lt;author&gt;Hirt, Sonia A. &lt;/author&gt;&lt;/authors&gt;&lt;/contributors&gt;&lt;titles&gt;&lt;title&gt;Iron Curtains: Gates, Suburbs and Privatization of Space in Post-Socialist City&lt;/title&gt;&lt;/titles&gt;&lt;dates&gt;&lt;year&gt;2012&lt;/year&gt;&lt;/dates&gt;&lt;pub-location&gt;Chichester, UK&lt;/pub-location&gt;&lt;publisher&gt;Wiley-Blackwell&lt;/publisher&gt;&lt;urls&gt;&lt;/urls&gt;&lt;/record&gt;&lt;/Cite&gt;&lt;/EndNote&gt;</w:instrText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fldChar w:fldCharType="separate"/>
      </w:r>
      <w:r w:rsidRPr="00E3398A">
        <w:rPr>
          <w:rFonts w:ascii="Times New Roman" w:eastAsiaTheme="minorEastAsia" w:hAnsi="Times New Roman" w:cs="Times New Roman"/>
          <w:noProof/>
          <w:sz w:val="24"/>
          <w:szCs w:val="20"/>
        </w:rPr>
        <w:t>(Hirt, 2012, p. 56)</w:t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fldChar w:fldCharType="end"/>
      </w:r>
      <w:r w:rsidRPr="00E3398A">
        <w:rPr>
          <w:rFonts w:ascii="Times New Roman" w:eastAsiaTheme="minorEastAsia" w:hAnsi="Times New Roman" w:cs="Times New Roman"/>
          <w:sz w:val="24"/>
          <w:szCs w:val="20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Moreover, </w:t>
      </w:r>
      <w:r w:rsidRPr="00881CCE"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I </w:t>
      </w:r>
      <w:r>
        <w:rPr>
          <w:rFonts w:ascii="Times New Roman" w:hAnsi="Times New Roman" w:cs="Times New Roman"/>
          <w:color w:val="141823"/>
          <w:sz w:val="24"/>
          <w:szCs w:val="24"/>
          <w:lang w:eastAsia="de-DE"/>
        </w:rPr>
        <w:t>argue that</w:t>
      </w:r>
      <w:r w:rsidRPr="00881CCE">
        <w:rPr>
          <w:rFonts w:ascii="Times New Roman" w:hAnsi="Times New Roman" w:cs="Times New Roman"/>
          <w:color w:val="141823"/>
          <w:sz w:val="24"/>
          <w:szCs w:val="24"/>
          <w:lang w:eastAsia="de-D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privatisation gave birth to </w:t>
      </w:r>
      <w:r w:rsidRPr="00E3398A">
        <w:rPr>
          <w:rFonts w:ascii="Times New Roman" w:eastAsiaTheme="minorEastAsia" w:hAnsi="Times New Roman" w:cs="Times New Roman"/>
          <w:i/>
          <w:sz w:val="24"/>
          <w:szCs w:val="20"/>
        </w:rPr>
        <w:t>the new</w:t>
      </w:r>
      <w:r>
        <w:rPr>
          <w:rFonts w:ascii="Times New Roman" w:eastAsiaTheme="minorEastAsia" w:hAnsi="Times New Roman" w:cs="Times New Roman"/>
          <w:i/>
          <w:sz w:val="24"/>
          <w:szCs w:val="20"/>
        </w:rPr>
        <w:t xml:space="preserve"> </w:t>
      </w:r>
      <w:r w:rsidRPr="00E3398A">
        <w:rPr>
          <w:rFonts w:ascii="Times New Roman" w:eastAsiaTheme="minorEastAsia" w:hAnsi="Times New Roman" w:cs="Times New Roman"/>
          <w:i/>
          <w:sz w:val="24"/>
          <w:szCs w:val="20"/>
        </w:rPr>
        <w:t>residential landscapes</w:t>
      </w:r>
      <w:r>
        <w:rPr>
          <w:rFonts w:ascii="Times New Roman" w:eastAsiaTheme="minorEastAsia" w:hAnsi="Times New Roman" w:cs="Times New Roman"/>
          <w:i/>
          <w:sz w:val="24"/>
          <w:szCs w:val="20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which, </w:t>
      </w:r>
      <w:r>
        <w:rPr>
          <w:rFonts w:ascii="Times New Roman" w:hAnsi="Times New Roman" w:cs="Times New Roman"/>
          <w:sz w:val="24"/>
          <w:szCs w:val="20"/>
        </w:rPr>
        <w:t xml:space="preserve">in </w:t>
      </w:r>
      <w:r w:rsidRPr="0091704B">
        <w:rPr>
          <w:rFonts w:ascii="Times New Roman" w:hAnsi="Times New Roman" w:cs="Times New Roman"/>
          <w:sz w:val="24"/>
          <w:szCs w:val="20"/>
        </w:rPr>
        <w:t>broader sense, may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91704B">
        <w:rPr>
          <w:rFonts w:ascii="Times New Roman" w:hAnsi="Times New Roman" w:cs="Times New Roman"/>
          <w:sz w:val="24"/>
          <w:szCs w:val="20"/>
        </w:rPr>
        <w:t xml:space="preserve">represent the example </w:t>
      </w:r>
      <w:r w:rsidRPr="0091704B">
        <w:rPr>
          <w:rFonts w:ascii="Times New Roman" w:eastAsiaTheme="minorEastAsia" w:hAnsi="Times New Roman" w:cs="Times New Roman"/>
          <w:sz w:val="24"/>
          <w:szCs w:val="20"/>
        </w:rPr>
        <w:t>of the s</w:t>
      </w:r>
      <w:r w:rsidRPr="0091704B">
        <w:rPr>
          <w:rFonts w:ascii="Times New Roman" w:hAnsi="Times New Roman" w:cs="Times New Roman"/>
          <w:iCs/>
          <w:sz w:val="24"/>
          <w:szCs w:val="20"/>
        </w:rPr>
        <w:t xml:space="preserve">hift from </w:t>
      </w:r>
      <w:r w:rsidRPr="0091704B">
        <w:rPr>
          <w:rFonts w:ascii="Times New Roman" w:hAnsi="Times New Roman" w:cs="Times New Roman"/>
          <w:i/>
          <w:iCs/>
          <w:sz w:val="24"/>
          <w:szCs w:val="20"/>
        </w:rPr>
        <w:t>the (socialist practice of)</w:t>
      </w:r>
      <w:r w:rsidRPr="0091704B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Pr="0091704B">
        <w:rPr>
          <w:rFonts w:ascii="Times New Roman" w:hAnsi="Times New Roman" w:cs="Times New Roman"/>
          <w:i/>
          <w:iCs/>
          <w:sz w:val="24"/>
          <w:szCs w:val="20"/>
        </w:rPr>
        <w:t xml:space="preserve">living together </w:t>
      </w:r>
      <w:r w:rsidRPr="0091704B">
        <w:rPr>
          <w:rFonts w:ascii="Times New Roman" w:hAnsi="Times New Roman" w:cs="Times New Roman"/>
          <w:iCs/>
          <w:sz w:val="24"/>
          <w:szCs w:val="20"/>
        </w:rPr>
        <w:t xml:space="preserve">to </w:t>
      </w:r>
      <w:r w:rsidRPr="0091704B">
        <w:rPr>
          <w:rFonts w:ascii="Times New Roman" w:hAnsi="Times New Roman" w:cs="Times New Roman"/>
          <w:i/>
          <w:iCs/>
          <w:sz w:val="24"/>
          <w:szCs w:val="20"/>
        </w:rPr>
        <w:t xml:space="preserve">the (post-privatisation tendency) of living alone. </w:t>
      </w:r>
    </w:p>
    <w:p w14:paraId="6BF35EB9" w14:textId="77777777" w:rsidR="00C944FE" w:rsidRPr="00C944FE" w:rsidRDefault="00C944FE" w:rsidP="007119A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14:paraId="7285DCA2" w14:textId="77777777" w:rsidR="00C944FE" w:rsidRDefault="00C944FE" w:rsidP="007119A0">
      <w:pPr>
        <w:shd w:val="clear" w:color="auto" w:fill="FFFFFF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46E35C1" w14:textId="77777777" w:rsidR="00C944FE" w:rsidRDefault="00C944FE" w:rsidP="007119A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14:paraId="6310ED2D" w14:textId="77777777" w:rsidR="003A3CF3" w:rsidRPr="00E3398A" w:rsidRDefault="003A3CF3" w:rsidP="007119A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14:paraId="1B67BCCE" w14:textId="77777777" w:rsidR="003A3CF3" w:rsidRDefault="003A3CF3" w:rsidP="007119A0">
      <w:pPr>
        <w:shd w:val="clear" w:color="auto" w:fill="FFFFFF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14:paraId="75C2DC10" w14:textId="77777777" w:rsidR="003A3CF3" w:rsidRDefault="003A3CF3" w:rsidP="007119A0">
      <w:pPr>
        <w:shd w:val="clear" w:color="auto" w:fill="FFFFFF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14:paraId="4F81389D" w14:textId="77777777" w:rsidR="006025F3" w:rsidRDefault="006025F3" w:rsidP="007119A0">
      <w:pPr>
        <w:shd w:val="clear" w:color="auto" w:fill="FFFFFF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B65C0F8" w14:textId="77777777" w:rsidR="006025F3" w:rsidRDefault="006025F3" w:rsidP="007119A0">
      <w:pPr>
        <w:shd w:val="clear" w:color="auto" w:fill="FFFFFF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8AD14" w14:textId="77777777" w:rsidR="00C22F34" w:rsidRDefault="00C22F34" w:rsidP="007119A0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0"/>
        </w:rPr>
      </w:pPr>
    </w:p>
    <w:p w14:paraId="5704C0F0" w14:textId="77777777" w:rsidR="00563357" w:rsidRPr="00881CCE" w:rsidRDefault="00563357" w:rsidP="00711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3357" w:rsidRPr="00881CCE" w:rsidSect="00563357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342D8" w14:textId="77777777" w:rsidR="00767EE2" w:rsidRDefault="00767EE2" w:rsidP="00881CCE">
      <w:pPr>
        <w:spacing w:after="0" w:line="240" w:lineRule="auto"/>
      </w:pPr>
      <w:r>
        <w:separator/>
      </w:r>
    </w:p>
  </w:endnote>
  <w:endnote w:type="continuationSeparator" w:id="0">
    <w:p w14:paraId="59FD9D8C" w14:textId="77777777" w:rsidR="00767EE2" w:rsidRDefault="00767EE2" w:rsidP="0088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AADF2" w14:textId="77777777" w:rsidR="00767EE2" w:rsidRDefault="00767EE2" w:rsidP="00881CCE">
      <w:pPr>
        <w:spacing w:after="0" w:line="240" w:lineRule="auto"/>
      </w:pPr>
      <w:r>
        <w:separator/>
      </w:r>
    </w:p>
  </w:footnote>
  <w:footnote w:type="continuationSeparator" w:id="0">
    <w:p w14:paraId="3FF7402B" w14:textId="77777777" w:rsidR="00767EE2" w:rsidRDefault="00767EE2" w:rsidP="0088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76CC" w14:textId="77777777" w:rsidR="00767EE2" w:rsidRDefault="00767EE2" w:rsidP="00767E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D14E7" w14:textId="77777777" w:rsidR="00767EE2" w:rsidRDefault="00767EE2" w:rsidP="00C944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2915" w14:textId="77777777" w:rsidR="00767EE2" w:rsidRDefault="00767EE2" w:rsidP="00767E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9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90B5DD" w14:textId="77777777" w:rsidR="00767EE2" w:rsidRPr="003A3CF3" w:rsidRDefault="00767EE2" w:rsidP="00671C2B">
    <w:pPr>
      <w:spacing w:line="240" w:lineRule="auto"/>
      <w:ind w:right="360"/>
      <w:jc w:val="both"/>
      <w:outlineLvl w:val="0"/>
      <w:rPr>
        <w:rFonts w:ascii="Times New Roman" w:hAnsi="Times New Roman" w:cs="Times New Roman"/>
        <w:i/>
        <w:sz w:val="18"/>
        <w:szCs w:val="18"/>
      </w:rPr>
    </w:pPr>
    <w:r w:rsidRPr="003A3CF3">
      <w:rPr>
        <w:rFonts w:ascii="Times New Roman" w:hAnsi="Times New Roman" w:cs="Times New Roman"/>
        <w:sz w:val="18"/>
        <w:szCs w:val="18"/>
      </w:rPr>
      <w:t>IV World Planning Schools Congress</w:t>
    </w:r>
    <w:r w:rsidR="00671C2B">
      <w:rPr>
        <w:rFonts w:ascii="Times New Roman" w:hAnsi="Times New Roman" w:cs="Times New Roman"/>
        <w:sz w:val="18"/>
        <w:szCs w:val="18"/>
      </w:rPr>
      <w:t xml:space="preserve"> 2016 | </w:t>
    </w:r>
    <w:r>
      <w:rPr>
        <w:rFonts w:ascii="Times New Roman" w:hAnsi="Times New Roman" w:cs="Times New Roman"/>
        <w:sz w:val="18"/>
        <w:szCs w:val="18"/>
      </w:rPr>
      <w:t xml:space="preserve">Abstract | </w:t>
    </w:r>
    <w:r w:rsidRPr="003A3CF3">
      <w:rPr>
        <w:rFonts w:ascii="Times New Roman" w:hAnsi="Times New Roman" w:cs="Times New Roman"/>
        <w:i/>
        <w:sz w:val="18"/>
        <w:szCs w:val="18"/>
      </w:rPr>
      <w:t xml:space="preserve">Post-privatisation (residential) landscapes: the case of spatial secessions in neighbourhood of </w:t>
    </w:r>
    <w:r w:rsidRPr="003A3CF3">
      <w:rPr>
        <w:rFonts w:ascii="Times New Roman" w:eastAsia="Times New Roman" w:hAnsi="Times New Roman" w:cs="Times New Roman"/>
        <w:bCs/>
        <w:i/>
        <w:color w:val="252525"/>
        <w:sz w:val="18"/>
        <w:szCs w:val="18"/>
        <w:lang w:eastAsia="de-DE"/>
      </w:rPr>
      <w:t>Starčevica</w:t>
    </w:r>
    <w:r w:rsidRPr="003A3CF3">
      <w:rPr>
        <w:rFonts w:ascii="Times New Roman" w:hAnsi="Times New Roman" w:cs="Times New Roman"/>
        <w:i/>
        <w:sz w:val="18"/>
        <w:szCs w:val="18"/>
      </w:rPr>
      <w:t xml:space="preserve">, Banja Luka, Bosnia and Herzegovina | </w:t>
    </w:r>
    <w:r w:rsidR="00671C2B">
      <w:rPr>
        <w:rFonts w:ascii="Times New Roman" w:hAnsi="Times New Roman" w:cs="Times New Roman"/>
        <w:sz w:val="18"/>
        <w:szCs w:val="18"/>
      </w:rPr>
      <w:t>Sonja Lakic, PhD Student in Urban Studies,</w:t>
    </w:r>
    <w:r w:rsidRPr="003A3CF3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Gran Sasso Science Institute, L’Aquila, Italy | </w:t>
    </w:r>
    <w:r w:rsidR="00671C2B" w:rsidRPr="00671C2B">
      <w:rPr>
        <w:rFonts w:ascii="Times New Roman" w:hAnsi="Times New Roman" w:cs="Times New Roman"/>
        <w:sz w:val="18"/>
        <w:szCs w:val="18"/>
      </w:rPr>
      <w:t>sonja.lakic@gssi.infn.it</w:t>
    </w:r>
    <w:r w:rsidR="00671C2B">
      <w:rPr>
        <w:rFonts w:ascii="Times New Roman" w:hAnsi="Times New Roman" w:cs="Times New Roman"/>
        <w:sz w:val="18"/>
        <w:szCs w:val="18"/>
      </w:rPr>
      <w:t xml:space="preserve"> </w:t>
    </w:r>
  </w:p>
  <w:p w14:paraId="199DB1B5" w14:textId="77777777" w:rsidR="00767EE2" w:rsidRDefault="00767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CE"/>
    <w:rsid w:val="0015382D"/>
    <w:rsid w:val="001F5DE3"/>
    <w:rsid w:val="002658FC"/>
    <w:rsid w:val="003A3CF3"/>
    <w:rsid w:val="00563357"/>
    <w:rsid w:val="006025F3"/>
    <w:rsid w:val="00671C2B"/>
    <w:rsid w:val="007119A0"/>
    <w:rsid w:val="00767EE2"/>
    <w:rsid w:val="00881CCE"/>
    <w:rsid w:val="0091704B"/>
    <w:rsid w:val="00B41262"/>
    <w:rsid w:val="00C22F34"/>
    <w:rsid w:val="00C944FE"/>
    <w:rsid w:val="00D65F71"/>
    <w:rsid w:val="00E3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786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C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81CC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1CCE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81CCE"/>
    <w:rPr>
      <w:vertAlign w:val="superscript"/>
    </w:rPr>
  </w:style>
  <w:style w:type="character" w:customStyle="1" w:styleId="apple-converted-space">
    <w:name w:val="apple-converted-space"/>
    <w:basedOn w:val="DefaultParagraphFont"/>
    <w:rsid w:val="00881CCE"/>
  </w:style>
  <w:style w:type="paragraph" w:styleId="Header">
    <w:name w:val="header"/>
    <w:basedOn w:val="Normal"/>
    <w:link w:val="HeaderChar"/>
    <w:uiPriority w:val="99"/>
    <w:unhideWhenUsed/>
    <w:rsid w:val="003A3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F3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F3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944FE"/>
  </w:style>
  <w:style w:type="character" w:styleId="Hyperlink">
    <w:name w:val="Hyperlink"/>
    <w:basedOn w:val="DefaultParagraphFont"/>
    <w:uiPriority w:val="99"/>
    <w:unhideWhenUsed/>
    <w:rsid w:val="00671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C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81CC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1CCE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81CCE"/>
    <w:rPr>
      <w:vertAlign w:val="superscript"/>
    </w:rPr>
  </w:style>
  <w:style w:type="character" w:customStyle="1" w:styleId="apple-converted-space">
    <w:name w:val="apple-converted-space"/>
    <w:basedOn w:val="DefaultParagraphFont"/>
    <w:rsid w:val="00881CCE"/>
  </w:style>
  <w:style w:type="paragraph" w:styleId="Header">
    <w:name w:val="header"/>
    <w:basedOn w:val="Normal"/>
    <w:link w:val="HeaderChar"/>
    <w:uiPriority w:val="99"/>
    <w:unhideWhenUsed/>
    <w:rsid w:val="003A3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F3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F3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944FE"/>
  </w:style>
  <w:style w:type="character" w:styleId="Hyperlink">
    <w:name w:val="Hyperlink"/>
    <w:basedOn w:val="DefaultParagraphFont"/>
    <w:uiPriority w:val="99"/>
    <w:unhideWhenUsed/>
    <w:rsid w:val="00671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9C59A-E5D7-4846-A0CB-8399CAA0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2041</Words>
  <Characters>11048</Characters>
  <Application>Microsoft Macintosh Word</Application>
  <DocSecurity>0</DocSecurity>
  <Lines>197</Lines>
  <Paragraphs>25</Paragraphs>
  <ScaleCrop>false</ScaleCrop>
  <Company>GSSI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cp:lastPrinted>2015-10-26T21:57:00Z</cp:lastPrinted>
  <dcterms:created xsi:type="dcterms:W3CDTF">2015-10-26T21:57:00Z</dcterms:created>
  <dcterms:modified xsi:type="dcterms:W3CDTF">2015-10-26T22:03:00Z</dcterms:modified>
</cp:coreProperties>
</file>