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CB" w:rsidRPr="00972751" w:rsidRDefault="00737B5E">
      <w:pPr>
        <w:pStyle w:val="BodyA"/>
        <w:jc w:val="center"/>
        <w:rPr>
          <w:rFonts w:asciiTheme="majorHAnsi" w:eastAsia="Palatino" w:hAnsiTheme="majorHAnsi" w:cs="Palatino"/>
          <w:b/>
          <w:bCs/>
          <w:i/>
          <w:iCs/>
          <w:sz w:val="28"/>
          <w:szCs w:val="28"/>
        </w:rPr>
      </w:pPr>
      <w:r w:rsidRPr="00972751">
        <w:rPr>
          <w:rFonts w:asciiTheme="majorHAnsi" w:hAnsiTheme="majorHAnsi"/>
          <w:b/>
          <w:bCs/>
          <w:i/>
          <w:iCs/>
          <w:sz w:val="28"/>
          <w:szCs w:val="28"/>
        </w:rPr>
        <w:t>Neighborhood-scale Climate Adaptation</w:t>
      </w:r>
    </w:p>
    <w:p w:rsidR="00DD2CCB" w:rsidRPr="00972751" w:rsidRDefault="00737B5E">
      <w:pPr>
        <w:pStyle w:val="BodyA"/>
        <w:jc w:val="center"/>
        <w:rPr>
          <w:rFonts w:asciiTheme="majorHAnsi" w:eastAsia="Palatino" w:hAnsiTheme="majorHAnsi" w:cs="Palatino"/>
          <w:b/>
          <w:bCs/>
          <w:i/>
          <w:iCs/>
          <w:sz w:val="24"/>
          <w:szCs w:val="24"/>
        </w:rPr>
      </w:pPr>
      <w:r w:rsidRPr="00972751">
        <w:rPr>
          <w:rFonts w:asciiTheme="majorHAnsi" w:hAnsiTheme="majorHAnsi"/>
          <w:b/>
          <w:bCs/>
          <w:i/>
          <w:iCs/>
          <w:sz w:val="24"/>
          <w:szCs w:val="24"/>
        </w:rPr>
        <w:t>Improving Community Resilience to Urban Heat Stress and Air Pollution</w:t>
      </w:r>
    </w:p>
    <w:p w:rsidR="00DD2CCB" w:rsidRPr="00972751" w:rsidRDefault="00737B5E">
      <w:pPr>
        <w:pStyle w:val="BodyA"/>
        <w:rPr>
          <w:rFonts w:asciiTheme="majorHAnsi" w:eastAsia="Palatino" w:hAnsiTheme="majorHAnsi" w:cs="Palatino"/>
          <w:b/>
          <w:bCs/>
          <w:i/>
          <w:iCs/>
          <w:sz w:val="12"/>
          <w:szCs w:val="12"/>
        </w:rPr>
      </w:pPr>
      <w:r w:rsidRPr="00972751">
        <w:rPr>
          <w:rFonts w:asciiTheme="majorHAnsi" w:hAnsiTheme="majorHAnsi"/>
          <w:b/>
          <w:bCs/>
          <w:i/>
          <w:iCs/>
          <w:sz w:val="12"/>
          <w:szCs w:val="12"/>
        </w:rPr>
        <w:t xml:space="preserve"> </w:t>
      </w:r>
    </w:p>
    <w:p w:rsidR="00DD2CCB" w:rsidRDefault="00737B5E" w:rsidP="00972751">
      <w:pPr>
        <w:pStyle w:val="BodyA"/>
        <w:jc w:val="center"/>
        <w:rPr>
          <w:rFonts w:asciiTheme="majorHAnsi" w:hAnsiTheme="majorHAnsi"/>
          <w:bCs/>
          <w:i/>
          <w:iCs/>
          <w:szCs w:val="24"/>
          <w:lang w:val="nl-NL"/>
        </w:rPr>
      </w:pPr>
      <w:r w:rsidRPr="00972751">
        <w:rPr>
          <w:rFonts w:asciiTheme="majorHAnsi" w:hAnsiTheme="majorHAnsi"/>
          <w:bCs/>
          <w:i/>
          <w:iCs/>
          <w:szCs w:val="24"/>
        </w:rPr>
        <w:t xml:space="preserve">Vivek </w:t>
      </w:r>
      <w:proofErr w:type="spellStart"/>
      <w:r w:rsidRPr="00972751">
        <w:rPr>
          <w:rFonts w:asciiTheme="majorHAnsi" w:hAnsiTheme="majorHAnsi"/>
          <w:bCs/>
          <w:i/>
          <w:iCs/>
          <w:szCs w:val="24"/>
        </w:rPr>
        <w:t>Shandas</w:t>
      </w:r>
      <w:proofErr w:type="spellEnd"/>
      <w:r w:rsidRPr="00972751">
        <w:rPr>
          <w:rFonts w:asciiTheme="majorHAnsi" w:hAnsiTheme="majorHAnsi"/>
          <w:bCs/>
          <w:i/>
          <w:iCs/>
          <w:szCs w:val="24"/>
        </w:rPr>
        <w:t xml:space="preserve">, </w:t>
      </w:r>
      <w:proofErr w:type="spellStart"/>
      <w:r w:rsidRPr="00972751">
        <w:rPr>
          <w:rFonts w:asciiTheme="majorHAnsi" w:hAnsiTheme="majorHAnsi"/>
          <w:bCs/>
          <w:i/>
          <w:iCs/>
          <w:szCs w:val="24"/>
          <w:lang w:val="nl-NL"/>
        </w:rPr>
        <w:t>Anandi</w:t>
      </w:r>
      <w:proofErr w:type="spellEnd"/>
      <w:r w:rsidRPr="00972751">
        <w:rPr>
          <w:rFonts w:asciiTheme="majorHAnsi" w:hAnsiTheme="majorHAnsi"/>
          <w:bCs/>
          <w:i/>
          <w:iCs/>
          <w:szCs w:val="24"/>
          <w:lang w:val="nl-NL"/>
        </w:rPr>
        <w:t xml:space="preserve"> van Diepen-</w:t>
      </w:r>
      <w:proofErr w:type="spellStart"/>
      <w:r w:rsidRPr="00972751">
        <w:rPr>
          <w:rFonts w:asciiTheme="majorHAnsi" w:hAnsiTheme="majorHAnsi"/>
          <w:bCs/>
          <w:i/>
          <w:iCs/>
          <w:szCs w:val="24"/>
          <w:lang w:val="nl-NL"/>
        </w:rPr>
        <w:t>Hedayat</w:t>
      </w:r>
      <w:proofErr w:type="spellEnd"/>
      <w:r w:rsidRPr="00972751">
        <w:rPr>
          <w:rFonts w:asciiTheme="majorHAnsi" w:hAnsiTheme="majorHAnsi"/>
          <w:bCs/>
          <w:i/>
          <w:iCs/>
          <w:szCs w:val="24"/>
          <w:lang w:val="nl-NL"/>
        </w:rPr>
        <w:t xml:space="preserve">, </w:t>
      </w:r>
      <w:r w:rsidR="00972751" w:rsidRPr="00972751">
        <w:rPr>
          <w:rFonts w:asciiTheme="majorHAnsi" w:hAnsiTheme="majorHAnsi"/>
          <w:bCs/>
          <w:i/>
          <w:iCs/>
          <w:szCs w:val="24"/>
        </w:rPr>
        <w:t>Jacks</w:t>
      </w:r>
      <w:r w:rsidR="00972751" w:rsidRPr="00972751">
        <w:rPr>
          <w:rFonts w:asciiTheme="majorHAnsi" w:hAnsiTheme="majorHAnsi"/>
          <w:bCs/>
          <w:i/>
          <w:iCs/>
          <w:szCs w:val="24"/>
          <w:lang w:val="nl-NL"/>
        </w:rPr>
        <w:t xml:space="preserve">on </w:t>
      </w:r>
      <w:proofErr w:type="spellStart"/>
      <w:r w:rsidR="00972751" w:rsidRPr="00972751">
        <w:rPr>
          <w:rFonts w:asciiTheme="majorHAnsi" w:hAnsiTheme="majorHAnsi"/>
          <w:bCs/>
          <w:i/>
          <w:iCs/>
          <w:szCs w:val="24"/>
          <w:lang w:val="nl-NL"/>
        </w:rPr>
        <w:t>Voe</w:t>
      </w:r>
      <w:proofErr w:type="spellEnd"/>
      <w:r w:rsidR="00972751" w:rsidRPr="00972751">
        <w:rPr>
          <w:rFonts w:asciiTheme="majorHAnsi" w:hAnsiTheme="majorHAnsi"/>
          <w:bCs/>
          <w:i/>
          <w:iCs/>
          <w:szCs w:val="24"/>
        </w:rPr>
        <w:t>l</w:t>
      </w:r>
      <w:proofErr w:type="spellStart"/>
      <w:r w:rsidR="00972751" w:rsidRPr="00972751">
        <w:rPr>
          <w:rFonts w:asciiTheme="majorHAnsi" w:hAnsiTheme="majorHAnsi"/>
          <w:bCs/>
          <w:i/>
          <w:iCs/>
          <w:szCs w:val="24"/>
          <w:lang w:val="nl-NL"/>
        </w:rPr>
        <w:t>kel</w:t>
      </w:r>
      <w:proofErr w:type="spellEnd"/>
      <w:r w:rsidR="00972751" w:rsidRPr="00972751">
        <w:rPr>
          <w:rFonts w:asciiTheme="majorHAnsi" w:hAnsiTheme="majorHAnsi"/>
          <w:bCs/>
          <w:i/>
          <w:iCs/>
          <w:szCs w:val="24"/>
          <w:lang w:val="nl-NL"/>
        </w:rPr>
        <w:t xml:space="preserve">, </w:t>
      </w:r>
      <w:proofErr w:type="spellStart"/>
      <w:r w:rsidRPr="00972751">
        <w:rPr>
          <w:rFonts w:asciiTheme="majorHAnsi" w:hAnsiTheme="majorHAnsi"/>
          <w:bCs/>
          <w:i/>
          <w:iCs/>
          <w:szCs w:val="24"/>
          <w:lang w:val="nl-NL"/>
        </w:rPr>
        <w:t>Meenakshi</w:t>
      </w:r>
      <w:proofErr w:type="spellEnd"/>
      <w:r w:rsidRPr="00972751">
        <w:rPr>
          <w:rFonts w:asciiTheme="majorHAnsi" w:hAnsiTheme="majorHAnsi"/>
          <w:bCs/>
          <w:i/>
          <w:iCs/>
          <w:szCs w:val="24"/>
          <w:lang w:val="nl-NL"/>
        </w:rPr>
        <w:t xml:space="preserve"> </w:t>
      </w:r>
      <w:proofErr w:type="spellStart"/>
      <w:r w:rsidRPr="00972751">
        <w:rPr>
          <w:rFonts w:asciiTheme="majorHAnsi" w:hAnsiTheme="majorHAnsi"/>
          <w:bCs/>
          <w:i/>
          <w:iCs/>
          <w:szCs w:val="24"/>
          <w:lang w:val="nl-NL"/>
        </w:rPr>
        <w:t>Rao</w:t>
      </w:r>
      <w:proofErr w:type="spellEnd"/>
      <w:r w:rsidRPr="00972751">
        <w:rPr>
          <w:rFonts w:asciiTheme="majorHAnsi" w:hAnsiTheme="majorHAnsi"/>
          <w:bCs/>
          <w:i/>
          <w:iCs/>
          <w:szCs w:val="24"/>
          <w:lang w:val="nl-NL"/>
        </w:rPr>
        <w:t>, Linda George</w:t>
      </w:r>
    </w:p>
    <w:p w:rsidR="00972751" w:rsidRPr="00972751" w:rsidRDefault="00972751" w:rsidP="00972751">
      <w:pPr>
        <w:pStyle w:val="BodyA"/>
        <w:jc w:val="center"/>
        <w:rPr>
          <w:rFonts w:asciiTheme="majorHAnsi" w:eastAsia="Palatino" w:hAnsiTheme="majorHAnsi" w:cs="Palatino"/>
          <w:bCs/>
          <w:i/>
          <w:iCs/>
          <w:szCs w:val="24"/>
        </w:rPr>
      </w:pPr>
    </w:p>
    <w:p w:rsidR="00DD2CCB" w:rsidRPr="00972751" w:rsidRDefault="00737B5E">
      <w:pPr>
        <w:pStyle w:val="BodyA"/>
        <w:rPr>
          <w:rFonts w:asciiTheme="majorHAnsi" w:eastAsia="Palatino" w:hAnsiTheme="majorHAnsi" w:cs="Palatino"/>
          <w:b/>
          <w:bCs/>
          <w:i/>
          <w:iCs/>
          <w:sz w:val="24"/>
          <w:szCs w:val="24"/>
        </w:rPr>
      </w:pPr>
      <w:r w:rsidRPr="00972751">
        <w:rPr>
          <w:rFonts w:asciiTheme="majorHAnsi" w:hAnsiTheme="majorHAnsi"/>
          <w:b/>
          <w:bCs/>
          <w:sz w:val="24"/>
          <w:szCs w:val="24"/>
        </w:rPr>
        <w:t xml:space="preserve">Abstract </w:t>
      </w:r>
    </w:p>
    <w:p w:rsidR="008457D5" w:rsidRPr="00972751" w:rsidRDefault="00737B5E" w:rsidP="008457D5">
      <w:pPr>
        <w:pStyle w:val="BodyA"/>
        <w:ind w:firstLine="720"/>
        <w:rPr>
          <w:rFonts w:asciiTheme="majorHAnsi" w:eastAsia="Palatino" w:hAnsiTheme="majorHAnsi" w:cs="Palatino"/>
          <w:sz w:val="24"/>
          <w:szCs w:val="24"/>
        </w:rPr>
      </w:pPr>
      <w:r w:rsidRPr="00972751">
        <w:rPr>
          <w:rFonts w:asciiTheme="majorHAnsi" w:hAnsiTheme="majorHAnsi"/>
          <w:sz w:val="24"/>
          <w:szCs w:val="24"/>
        </w:rPr>
        <w:t>Planning organizations throughout the United States are attempting to mitigate and adapt to the imminent consequences of a warming planet. Cities pose an immed</w:t>
      </w:r>
      <w:r w:rsidRPr="00972751">
        <w:rPr>
          <w:rFonts w:asciiTheme="majorHAnsi" w:hAnsiTheme="majorHAnsi"/>
          <w:sz w:val="24"/>
          <w:szCs w:val="24"/>
        </w:rPr>
        <w:t>i</w:t>
      </w:r>
      <w:r w:rsidRPr="00972751">
        <w:rPr>
          <w:rFonts w:asciiTheme="majorHAnsi" w:hAnsiTheme="majorHAnsi"/>
          <w:sz w:val="24"/>
          <w:szCs w:val="24"/>
        </w:rPr>
        <w:t xml:space="preserve">ate threat to and opportunity for improving the capacity for socio-ecological resilience </w:t>
      </w:r>
      <w:r w:rsidR="008457D5" w:rsidRPr="00972751">
        <w:rPr>
          <w:rFonts w:asciiTheme="majorHAnsi" w:hAnsiTheme="majorHAnsi"/>
          <w:sz w:val="24"/>
          <w:szCs w:val="24"/>
        </w:rPr>
        <w:t>to</w:t>
      </w:r>
      <w:r w:rsidRPr="00972751">
        <w:rPr>
          <w:rFonts w:asciiTheme="majorHAnsi" w:hAnsiTheme="majorHAnsi"/>
          <w:sz w:val="24"/>
          <w:szCs w:val="24"/>
        </w:rPr>
        <w:t xml:space="preserve"> climate-induced impacts to citizens, businesses, and society at large. Indeed, with the majority of humans now living in urban areas, a critical policy and planning mandate is to develop effective approaches to reducing emissions of climate warming gases, and ameliorating the impacts to those most impacted by climate change, particularly e</w:t>
      </w:r>
      <w:r w:rsidRPr="00972751">
        <w:rPr>
          <w:rFonts w:asciiTheme="majorHAnsi" w:hAnsiTheme="majorHAnsi"/>
          <w:sz w:val="24"/>
          <w:szCs w:val="24"/>
        </w:rPr>
        <w:t>x</w:t>
      </w:r>
      <w:r w:rsidRPr="00972751">
        <w:rPr>
          <w:rFonts w:asciiTheme="majorHAnsi" w:hAnsiTheme="majorHAnsi"/>
          <w:sz w:val="24"/>
          <w:szCs w:val="24"/>
        </w:rPr>
        <w:t>treme weather events. While mitigation of green house gases (GHGs) is well underway by many cities in the Western Hemisphere, adaptation strategies are only emerging</w:t>
      </w:r>
      <w:r w:rsidR="00972751">
        <w:rPr>
          <w:rFonts w:asciiTheme="majorHAnsi" w:hAnsiTheme="majorHAnsi"/>
          <w:sz w:val="24"/>
          <w:szCs w:val="24"/>
        </w:rPr>
        <w:t xml:space="preserve"> (</w:t>
      </w:r>
      <w:proofErr w:type="spellStart"/>
      <w:r w:rsidR="00972751">
        <w:rPr>
          <w:rFonts w:asciiTheme="majorHAnsi" w:hAnsiTheme="majorHAnsi"/>
          <w:sz w:val="24"/>
          <w:szCs w:val="24"/>
        </w:rPr>
        <w:t>Adger</w:t>
      </w:r>
      <w:proofErr w:type="spellEnd"/>
      <w:r w:rsidR="00972751">
        <w:rPr>
          <w:rFonts w:asciiTheme="majorHAnsi" w:hAnsiTheme="majorHAnsi"/>
          <w:sz w:val="24"/>
          <w:szCs w:val="24"/>
        </w:rPr>
        <w:t>, 2006)</w:t>
      </w:r>
      <w:r w:rsidRPr="00972751">
        <w:rPr>
          <w:rFonts w:asciiTheme="majorHAnsi" w:hAnsiTheme="majorHAnsi"/>
          <w:sz w:val="24"/>
          <w:szCs w:val="24"/>
        </w:rPr>
        <w:t>. Moreover, there are mechanisms of planning and poli</w:t>
      </w:r>
      <w:r w:rsidR="008457D5" w:rsidRPr="00972751">
        <w:rPr>
          <w:rFonts w:asciiTheme="majorHAnsi" w:hAnsiTheme="majorHAnsi"/>
          <w:sz w:val="24"/>
          <w:szCs w:val="24"/>
        </w:rPr>
        <w:t>cy</w:t>
      </w:r>
      <w:r w:rsidRPr="00972751">
        <w:rPr>
          <w:rFonts w:asciiTheme="majorHAnsi" w:hAnsiTheme="majorHAnsi"/>
          <w:sz w:val="24"/>
          <w:szCs w:val="24"/>
        </w:rPr>
        <w:t xml:space="preserve"> that directly r</w:t>
      </w:r>
      <w:r w:rsidRPr="00972751">
        <w:rPr>
          <w:rFonts w:asciiTheme="majorHAnsi" w:hAnsiTheme="majorHAnsi"/>
          <w:sz w:val="24"/>
          <w:szCs w:val="24"/>
        </w:rPr>
        <w:t>e</w:t>
      </w:r>
      <w:r w:rsidRPr="00972751">
        <w:rPr>
          <w:rFonts w:asciiTheme="majorHAnsi" w:hAnsiTheme="majorHAnsi"/>
          <w:sz w:val="24"/>
          <w:szCs w:val="24"/>
        </w:rPr>
        <w:t>duce the implications</w:t>
      </w:r>
      <w:r w:rsidR="008457D5" w:rsidRPr="00972751">
        <w:rPr>
          <w:rFonts w:asciiTheme="majorHAnsi" w:hAnsiTheme="majorHAnsi"/>
          <w:sz w:val="24"/>
          <w:szCs w:val="24"/>
        </w:rPr>
        <w:t xml:space="preserve"> to the health and welfare impacts</w:t>
      </w:r>
      <w:r w:rsidRPr="00972751">
        <w:rPr>
          <w:rFonts w:asciiTheme="majorHAnsi" w:hAnsiTheme="majorHAnsi"/>
          <w:sz w:val="24"/>
          <w:szCs w:val="24"/>
        </w:rPr>
        <w:t xml:space="preserve"> of climate change on urban cit</w:t>
      </w:r>
      <w:r w:rsidRPr="00972751">
        <w:rPr>
          <w:rFonts w:asciiTheme="majorHAnsi" w:hAnsiTheme="majorHAnsi"/>
          <w:sz w:val="24"/>
          <w:szCs w:val="24"/>
        </w:rPr>
        <w:t>i</w:t>
      </w:r>
      <w:r w:rsidRPr="00972751">
        <w:rPr>
          <w:rFonts w:asciiTheme="majorHAnsi" w:hAnsiTheme="majorHAnsi"/>
          <w:sz w:val="24"/>
          <w:szCs w:val="24"/>
        </w:rPr>
        <w:t>zens, and especially those who are least able to cope with extreme climate events (e.g. flooding, urban heat islands, tropospheric ozone, etc.). To address these challenges, pla</w:t>
      </w:r>
      <w:r w:rsidRPr="00972751">
        <w:rPr>
          <w:rFonts w:asciiTheme="majorHAnsi" w:hAnsiTheme="majorHAnsi"/>
          <w:sz w:val="24"/>
          <w:szCs w:val="24"/>
        </w:rPr>
        <w:t>n</w:t>
      </w:r>
      <w:r w:rsidRPr="00972751">
        <w:rPr>
          <w:rFonts w:asciiTheme="majorHAnsi" w:hAnsiTheme="majorHAnsi"/>
          <w:sz w:val="24"/>
          <w:szCs w:val="24"/>
        </w:rPr>
        <w:t>ning organizations seek to understand approaches effective in reducing vulnerability and improving resiliency of local com</w:t>
      </w:r>
      <w:r w:rsidR="008457D5" w:rsidRPr="00972751">
        <w:rPr>
          <w:rFonts w:asciiTheme="majorHAnsi" w:hAnsiTheme="majorHAnsi"/>
          <w:sz w:val="24"/>
          <w:szCs w:val="24"/>
        </w:rPr>
        <w:t>munities</w:t>
      </w:r>
      <w:r w:rsidRPr="00972751">
        <w:rPr>
          <w:rFonts w:asciiTheme="majorHAnsi" w:hAnsiTheme="majorHAnsi"/>
          <w:sz w:val="24"/>
          <w:szCs w:val="24"/>
        </w:rPr>
        <w:t>.</w:t>
      </w:r>
    </w:p>
    <w:p w:rsidR="00DD2CCB" w:rsidRPr="00972751" w:rsidRDefault="00737B5E">
      <w:pPr>
        <w:pStyle w:val="BodyA"/>
        <w:ind w:firstLine="720"/>
        <w:rPr>
          <w:rFonts w:asciiTheme="majorHAnsi" w:eastAsia="Palatino" w:hAnsiTheme="majorHAnsi" w:cs="Palatino"/>
          <w:sz w:val="24"/>
          <w:szCs w:val="24"/>
        </w:rPr>
      </w:pPr>
      <w:r w:rsidRPr="00972751">
        <w:rPr>
          <w:rFonts w:asciiTheme="majorHAnsi" w:hAnsiTheme="majorHAnsi"/>
          <w:sz w:val="24"/>
          <w:szCs w:val="24"/>
        </w:rPr>
        <w:t>Understanding urban space with the socio-ecological system model, our paper assesses human vulnerability to heat stress and degraded air quality</w:t>
      </w:r>
      <w:r w:rsidR="00972751">
        <w:rPr>
          <w:rFonts w:asciiTheme="majorHAnsi" w:hAnsiTheme="majorHAnsi"/>
          <w:sz w:val="24"/>
          <w:szCs w:val="24"/>
        </w:rPr>
        <w:t xml:space="preserve"> (Cutter et al. 2006).</w:t>
      </w:r>
      <w:r w:rsidR="008457D5" w:rsidRPr="00972751">
        <w:rPr>
          <w:rFonts w:asciiTheme="majorHAnsi" w:hAnsiTheme="majorHAnsi"/>
          <w:sz w:val="24"/>
          <w:szCs w:val="24"/>
        </w:rPr>
        <w:t xml:space="preserve"> Our</w:t>
      </w:r>
      <w:r w:rsidRPr="00972751">
        <w:rPr>
          <w:rFonts w:asciiTheme="majorHAnsi" w:hAnsiTheme="majorHAnsi"/>
          <w:sz w:val="24"/>
          <w:szCs w:val="24"/>
        </w:rPr>
        <w:t xml:space="preserve"> work entailed engagement of local planners, community organizers, and r</w:t>
      </w:r>
      <w:r w:rsidRPr="00972751">
        <w:rPr>
          <w:rFonts w:asciiTheme="majorHAnsi" w:hAnsiTheme="majorHAnsi"/>
          <w:sz w:val="24"/>
          <w:szCs w:val="24"/>
        </w:rPr>
        <w:t>e</w:t>
      </w:r>
      <w:r w:rsidRPr="00972751">
        <w:rPr>
          <w:rFonts w:asciiTheme="majorHAnsi" w:hAnsiTheme="majorHAnsi"/>
          <w:sz w:val="24"/>
          <w:szCs w:val="24"/>
        </w:rPr>
        <w:t xml:space="preserve">searchers in </w:t>
      </w:r>
      <w:r w:rsidR="008457D5" w:rsidRPr="00972751">
        <w:rPr>
          <w:rFonts w:asciiTheme="majorHAnsi" w:hAnsiTheme="majorHAnsi"/>
          <w:sz w:val="24"/>
          <w:szCs w:val="24"/>
        </w:rPr>
        <w:t xml:space="preserve">a process of </w:t>
      </w:r>
      <w:r w:rsidR="008457D5" w:rsidRPr="00972751">
        <w:rPr>
          <w:rFonts w:asciiTheme="majorHAnsi" w:hAnsiTheme="majorHAnsi"/>
          <w:i/>
          <w:sz w:val="24"/>
          <w:szCs w:val="24"/>
        </w:rPr>
        <w:t>co-production of knowledge</w:t>
      </w:r>
      <w:r w:rsidR="008457D5" w:rsidRPr="00972751">
        <w:rPr>
          <w:rFonts w:asciiTheme="majorHAnsi" w:hAnsiTheme="majorHAnsi"/>
          <w:sz w:val="24"/>
          <w:szCs w:val="24"/>
        </w:rPr>
        <w:t xml:space="preserve"> that paired </w:t>
      </w:r>
      <w:r w:rsidRPr="00972751">
        <w:rPr>
          <w:rFonts w:asciiTheme="majorHAnsi" w:hAnsiTheme="majorHAnsi"/>
          <w:sz w:val="24"/>
          <w:szCs w:val="24"/>
        </w:rPr>
        <w:t>a local university with r</w:t>
      </w:r>
      <w:r w:rsidRPr="00972751">
        <w:rPr>
          <w:rFonts w:asciiTheme="majorHAnsi" w:hAnsiTheme="majorHAnsi"/>
          <w:sz w:val="24"/>
          <w:szCs w:val="24"/>
        </w:rPr>
        <w:t>e</w:t>
      </w:r>
      <w:r w:rsidRPr="00972751">
        <w:rPr>
          <w:rFonts w:asciiTheme="majorHAnsi" w:hAnsiTheme="majorHAnsi"/>
          <w:sz w:val="24"/>
          <w:szCs w:val="24"/>
        </w:rPr>
        <w:t>gional stakehold</w:t>
      </w:r>
      <w:r w:rsidR="008457D5" w:rsidRPr="00972751">
        <w:rPr>
          <w:rFonts w:asciiTheme="majorHAnsi" w:hAnsiTheme="majorHAnsi"/>
          <w:sz w:val="24"/>
          <w:szCs w:val="24"/>
        </w:rPr>
        <w:t>ers. Few studies combine a collaborative and participatory model with data-intensive mapping exercises that forecast the social, environmental and economic impacts of altern</w:t>
      </w:r>
      <w:r w:rsidR="008457D5" w:rsidRPr="00972751">
        <w:rPr>
          <w:rFonts w:asciiTheme="majorHAnsi" w:hAnsiTheme="majorHAnsi"/>
          <w:sz w:val="24"/>
          <w:szCs w:val="24"/>
        </w:rPr>
        <w:t>a</w:t>
      </w:r>
      <w:r w:rsidR="008457D5" w:rsidRPr="00972751">
        <w:rPr>
          <w:rFonts w:asciiTheme="majorHAnsi" w:hAnsiTheme="majorHAnsi"/>
          <w:sz w:val="24"/>
          <w:szCs w:val="24"/>
        </w:rPr>
        <w:t>tive spatial options. To ground our approach we</w:t>
      </w:r>
      <w:r w:rsidRPr="00972751">
        <w:rPr>
          <w:rFonts w:asciiTheme="majorHAnsi" w:hAnsiTheme="majorHAnsi"/>
          <w:sz w:val="24"/>
          <w:szCs w:val="24"/>
        </w:rPr>
        <w:t xml:space="preserve"> examine</w:t>
      </w:r>
      <w:r w:rsidR="008457D5" w:rsidRPr="00972751">
        <w:rPr>
          <w:rFonts w:asciiTheme="majorHAnsi" w:hAnsiTheme="majorHAnsi"/>
          <w:sz w:val="24"/>
          <w:szCs w:val="24"/>
        </w:rPr>
        <w:t>d</w:t>
      </w:r>
      <w:r w:rsidRPr="00972751">
        <w:rPr>
          <w:rFonts w:asciiTheme="majorHAnsi" w:hAnsiTheme="majorHAnsi"/>
          <w:sz w:val="24"/>
          <w:szCs w:val="24"/>
        </w:rPr>
        <w:t xml:space="preserve"> conceptual descriptions of vu</w:t>
      </w:r>
      <w:r w:rsidRPr="00972751">
        <w:rPr>
          <w:rFonts w:asciiTheme="majorHAnsi" w:hAnsiTheme="majorHAnsi"/>
          <w:sz w:val="24"/>
          <w:szCs w:val="24"/>
        </w:rPr>
        <w:t>l</w:t>
      </w:r>
      <w:r w:rsidRPr="00972751">
        <w:rPr>
          <w:rFonts w:asciiTheme="majorHAnsi" w:hAnsiTheme="majorHAnsi"/>
          <w:sz w:val="24"/>
          <w:szCs w:val="24"/>
        </w:rPr>
        <w:t xml:space="preserve">nerability and the extent to which human communities are impacted by urban heat stress and degraded air quality. </w:t>
      </w:r>
      <w:r w:rsidR="008457D5" w:rsidRPr="00972751">
        <w:rPr>
          <w:rFonts w:asciiTheme="majorHAnsi" w:hAnsiTheme="majorHAnsi"/>
          <w:sz w:val="24"/>
          <w:szCs w:val="24"/>
        </w:rPr>
        <w:t>O</w:t>
      </w:r>
      <w:r w:rsidRPr="00972751">
        <w:rPr>
          <w:rFonts w:asciiTheme="majorHAnsi" w:hAnsiTheme="majorHAnsi"/>
          <w:sz w:val="24"/>
          <w:szCs w:val="24"/>
        </w:rPr>
        <w:t xml:space="preserve">ur efforts </w:t>
      </w:r>
      <w:r w:rsidR="008457D5" w:rsidRPr="00972751">
        <w:rPr>
          <w:rFonts w:asciiTheme="majorHAnsi" w:hAnsiTheme="majorHAnsi"/>
          <w:sz w:val="24"/>
          <w:szCs w:val="24"/>
        </w:rPr>
        <w:t xml:space="preserve">focus </w:t>
      </w:r>
      <w:r w:rsidRPr="00972751">
        <w:rPr>
          <w:rFonts w:asciiTheme="majorHAnsi" w:hAnsiTheme="majorHAnsi"/>
          <w:sz w:val="24"/>
          <w:szCs w:val="24"/>
        </w:rPr>
        <w:t xml:space="preserve">on the formally adopted ‘Climate </w:t>
      </w:r>
      <w:r w:rsidR="008457D5" w:rsidRPr="00972751">
        <w:rPr>
          <w:rFonts w:asciiTheme="majorHAnsi" w:hAnsiTheme="majorHAnsi"/>
          <w:sz w:val="24"/>
          <w:szCs w:val="24"/>
        </w:rPr>
        <w:t>A</w:t>
      </w:r>
      <w:r w:rsidR="008457D5" w:rsidRPr="00972751">
        <w:rPr>
          <w:rFonts w:asciiTheme="majorHAnsi" w:hAnsiTheme="majorHAnsi"/>
          <w:sz w:val="24"/>
          <w:szCs w:val="24"/>
        </w:rPr>
        <w:t>c</w:t>
      </w:r>
      <w:r w:rsidR="008457D5" w:rsidRPr="00972751">
        <w:rPr>
          <w:rFonts w:asciiTheme="majorHAnsi" w:hAnsiTheme="majorHAnsi"/>
          <w:sz w:val="24"/>
          <w:szCs w:val="24"/>
        </w:rPr>
        <w:t>tion Plan</w:t>
      </w:r>
      <w:r w:rsidRPr="00972751">
        <w:rPr>
          <w:rFonts w:asciiTheme="majorHAnsi" w:hAnsiTheme="majorHAnsi"/>
          <w:sz w:val="24"/>
          <w:szCs w:val="24"/>
          <w:lang w:val="fr-FR"/>
        </w:rPr>
        <w:t xml:space="preserve"> </w:t>
      </w:r>
      <w:r w:rsidRPr="00972751">
        <w:rPr>
          <w:rFonts w:asciiTheme="majorHAnsi" w:hAnsiTheme="majorHAnsi"/>
          <w:sz w:val="24"/>
          <w:szCs w:val="24"/>
        </w:rPr>
        <w:t xml:space="preserve">for the City of </w:t>
      </w:r>
      <w:r w:rsidR="008457D5" w:rsidRPr="00972751">
        <w:rPr>
          <w:rFonts w:asciiTheme="majorHAnsi" w:hAnsiTheme="majorHAnsi"/>
          <w:sz w:val="24"/>
          <w:szCs w:val="24"/>
        </w:rPr>
        <w:t>Portland, Oregon</w:t>
      </w:r>
      <w:r w:rsidRPr="00972751">
        <w:rPr>
          <w:rFonts w:asciiTheme="majorHAnsi" w:hAnsiTheme="majorHAnsi"/>
          <w:sz w:val="24"/>
          <w:szCs w:val="24"/>
        </w:rPr>
        <w:t>, a municipality known for having written the first climate plan in the United States, and for its continued development of approaches focusing on adaptation. Cognizant of three dimensions of vulnerability – e</w:t>
      </w:r>
      <w:r w:rsidRPr="00972751">
        <w:rPr>
          <w:rFonts w:asciiTheme="majorHAnsi" w:hAnsiTheme="majorHAnsi"/>
          <w:sz w:val="24"/>
          <w:szCs w:val="24"/>
        </w:rPr>
        <w:t>x</w:t>
      </w:r>
      <w:r w:rsidRPr="00972751">
        <w:rPr>
          <w:rFonts w:asciiTheme="majorHAnsi" w:hAnsiTheme="majorHAnsi"/>
          <w:sz w:val="24"/>
          <w:szCs w:val="24"/>
        </w:rPr>
        <w:t>posure, se</w:t>
      </w:r>
      <w:r w:rsidRPr="00972751">
        <w:rPr>
          <w:rFonts w:asciiTheme="majorHAnsi" w:hAnsiTheme="majorHAnsi"/>
          <w:sz w:val="24"/>
          <w:szCs w:val="24"/>
        </w:rPr>
        <w:t>n</w:t>
      </w:r>
      <w:r w:rsidRPr="00972751">
        <w:rPr>
          <w:rFonts w:asciiTheme="majorHAnsi" w:hAnsiTheme="majorHAnsi"/>
          <w:sz w:val="24"/>
          <w:szCs w:val="24"/>
        </w:rPr>
        <w:t>sitivity, and adaptive capacity – we engage local stakeholders in assessing Portland neighborhoods, sub-systems of the urban socio-ecological system, for climate-induced stressors of</w:t>
      </w:r>
      <w:r w:rsidR="008457D5" w:rsidRPr="00972751">
        <w:rPr>
          <w:rFonts w:asciiTheme="majorHAnsi" w:hAnsiTheme="majorHAnsi"/>
          <w:sz w:val="24"/>
          <w:szCs w:val="24"/>
        </w:rPr>
        <w:t xml:space="preserve"> urban heat, </w:t>
      </w:r>
      <w:r w:rsidRPr="00972751">
        <w:rPr>
          <w:rFonts w:asciiTheme="majorHAnsi" w:hAnsiTheme="majorHAnsi"/>
          <w:sz w:val="24"/>
          <w:szCs w:val="24"/>
        </w:rPr>
        <w:t xml:space="preserve">land-use and </w:t>
      </w:r>
      <w:r w:rsidR="008457D5" w:rsidRPr="00972751">
        <w:rPr>
          <w:rFonts w:asciiTheme="majorHAnsi" w:hAnsiTheme="majorHAnsi"/>
          <w:sz w:val="24"/>
          <w:szCs w:val="24"/>
        </w:rPr>
        <w:t xml:space="preserve">urban form </w:t>
      </w:r>
      <w:r w:rsidRPr="00972751">
        <w:rPr>
          <w:rFonts w:asciiTheme="majorHAnsi" w:hAnsiTheme="majorHAnsi"/>
          <w:sz w:val="24"/>
          <w:szCs w:val="24"/>
        </w:rPr>
        <w:t>specific to air quality, intera</w:t>
      </w:r>
      <w:r w:rsidRPr="00972751">
        <w:rPr>
          <w:rFonts w:asciiTheme="majorHAnsi" w:hAnsiTheme="majorHAnsi"/>
          <w:sz w:val="24"/>
          <w:szCs w:val="24"/>
        </w:rPr>
        <w:t>c</w:t>
      </w:r>
      <w:r w:rsidRPr="00972751">
        <w:rPr>
          <w:rFonts w:asciiTheme="majorHAnsi" w:hAnsiTheme="majorHAnsi"/>
          <w:sz w:val="24"/>
          <w:szCs w:val="24"/>
        </w:rPr>
        <w:t>tion of the two, and specific ‘hot spot</w:t>
      </w:r>
      <w:r w:rsidRPr="00972751">
        <w:rPr>
          <w:rFonts w:asciiTheme="majorHAnsi" w:hAnsiTheme="majorHAnsi"/>
          <w:sz w:val="24"/>
          <w:szCs w:val="24"/>
          <w:lang w:val="fr-FR"/>
        </w:rPr>
        <w:t xml:space="preserve">’ </w:t>
      </w:r>
      <w:r w:rsidRPr="00972751">
        <w:rPr>
          <w:rFonts w:asciiTheme="majorHAnsi" w:hAnsiTheme="majorHAnsi"/>
          <w:sz w:val="24"/>
          <w:szCs w:val="24"/>
        </w:rPr>
        <w:t>neighborhoods experiencing both</w:t>
      </w:r>
      <w:r w:rsidR="00972751">
        <w:rPr>
          <w:rFonts w:asciiTheme="majorHAnsi" w:hAnsiTheme="majorHAnsi"/>
          <w:sz w:val="24"/>
          <w:szCs w:val="24"/>
        </w:rPr>
        <w:t xml:space="preserve"> </w:t>
      </w:r>
      <w:r w:rsidR="00972751">
        <w:rPr>
          <w:rFonts w:ascii="Helvetica"/>
          <w:color w:val="222222"/>
          <w:sz w:val="24"/>
          <w:szCs w:val="24"/>
          <w:shd w:val="clear" w:color="auto" w:fill="FFFFFF"/>
        </w:rPr>
        <w:t xml:space="preserve">McLaughlin and Dietz, 2008). </w:t>
      </w:r>
    </w:p>
    <w:p w:rsidR="00972751" w:rsidRDefault="00737B5E">
      <w:pPr>
        <w:pStyle w:val="BodyA"/>
        <w:ind w:firstLine="720"/>
        <w:rPr>
          <w:rFonts w:asciiTheme="majorHAnsi" w:hAnsiTheme="majorHAnsi"/>
          <w:sz w:val="24"/>
          <w:szCs w:val="24"/>
        </w:rPr>
      </w:pPr>
      <w:r w:rsidRPr="00972751">
        <w:rPr>
          <w:rFonts w:asciiTheme="majorHAnsi" w:hAnsiTheme="majorHAnsi"/>
          <w:sz w:val="24"/>
          <w:szCs w:val="24"/>
        </w:rPr>
        <w:lastRenderedPageBreak/>
        <w:t>We integrate data from stakeholder workshops with empirically derived high-resolution urban heat island geography with corresponding air quality assessments, as well as datasets describing the socio</w:t>
      </w:r>
      <w:r w:rsidR="008457D5" w:rsidRPr="00972751">
        <w:rPr>
          <w:rFonts w:asciiTheme="majorHAnsi" w:hAnsiTheme="majorHAnsi"/>
          <w:sz w:val="24"/>
          <w:szCs w:val="24"/>
        </w:rPr>
        <w:t>-</w:t>
      </w:r>
      <w:r w:rsidRPr="00972751">
        <w:rPr>
          <w:rFonts w:asciiTheme="majorHAnsi" w:hAnsiTheme="majorHAnsi"/>
          <w:sz w:val="24"/>
          <w:szCs w:val="24"/>
        </w:rPr>
        <w:t>demographic and built environments. The resul</w:t>
      </w:r>
      <w:r w:rsidRPr="00972751">
        <w:rPr>
          <w:rFonts w:asciiTheme="majorHAnsi" w:hAnsiTheme="majorHAnsi"/>
          <w:sz w:val="24"/>
          <w:szCs w:val="24"/>
        </w:rPr>
        <w:t>t</w:t>
      </w:r>
      <w:r w:rsidRPr="00972751">
        <w:rPr>
          <w:rFonts w:asciiTheme="majorHAnsi" w:hAnsiTheme="majorHAnsi"/>
          <w:sz w:val="24"/>
          <w:szCs w:val="24"/>
        </w:rPr>
        <w:t>ing map series provides an intra-urban comparative perspective</w:t>
      </w:r>
      <w:proofErr w:type="gramStart"/>
      <w:r w:rsidR="008457D5" w:rsidRPr="00972751">
        <w:rPr>
          <w:rFonts w:asciiTheme="majorHAnsi" w:hAnsiTheme="majorHAnsi"/>
          <w:sz w:val="24"/>
          <w:szCs w:val="24"/>
        </w:rPr>
        <w:t>,</w:t>
      </w:r>
      <w:proofErr w:type="gramEnd"/>
      <w:r w:rsidRPr="00972751">
        <w:rPr>
          <w:rFonts w:asciiTheme="majorHAnsi" w:hAnsiTheme="majorHAnsi"/>
          <w:sz w:val="24"/>
          <w:szCs w:val="24"/>
        </w:rPr>
        <w:t xml:space="preserve"> then further integrated with relevant land use, land cover, transportation, and other data through a regression-tree analysis to identify specific stressors by neighborhood. The identification of neighbo</w:t>
      </w:r>
      <w:r w:rsidRPr="00972751">
        <w:rPr>
          <w:rFonts w:asciiTheme="majorHAnsi" w:hAnsiTheme="majorHAnsi"/>
          <w:sz w:val="24"/>
          <w:szCs w:val="24"/>
        </w:rPr>
        <w:t>r</w:t>
      </w:r>
      <w:r w:rsidRPr="00972751">
        <w:rPr>
          <w:rFonts w:asciiTheme="majorHAnsi" w:hAnsiTheme="majorHAnsi"/>
          <w:sz w:val="24"/>
          <w:szCs w:val="24"/>
        </w:rPr>
        <w:t>hood-scale stressors, for example, urban heat islands within socially vulnerable ar</w:t>
      </w:r>
      <w:r w:rsidRPr="00972751">
        <w:rPr>
          <w:rFonts w:asciiTheme="majorHAnsi" w:hAnsiTheme="majorHAnsi"/>
          <w:sz w:val="24"/>
          <w:szCs w:val="24"/>
        </w:rPr>
        <w:t>e</w:t>
      </w:r>
      <w:r w:rsidRPr="00972751">
        <w:rPr>
          <w:rFonts w:asciiTheme="majorHAnsi" w:hAnsiTheme="majorHAnsi"/>
          <w:sz w:val="24"/>
          <w:szCs w:val="24"/>
        </w:rPr>
        <w:t>as, enables stakeholders to gain leverage for adaptive strategies in the short- and long term. The results are captured in an interactive, web-based tool, which allows individ</w:t>
      </w:r>
      <w:r w:rsidRPr="00972751">
        <w:rPr>
          <w:rFonts w:asciiTheme="majorHAnsi" w:hAnsiTheme="majorHAnsi"/>
          <w:sz w:val="24"/>
          <w:szCs w:val="24"/>
        </w:rPr>
        <w:t>u</w:t>
      </w:r>
      <w:r w:rsidRPr="00972751">
        <w:rPr>
          <w:rFonts w:asciiTheme="majorHAnsi" w:hAnsiTheme="majorHAnsi"/>
          <w:sz w:val="24"/>
          <w:szCs w:val="24"/>
        </w:rPr>
        <w:t xml:space="preserve">als, communities, and relevant public and private organizations to query and assess the urban heat and air quality of a specific neighborhood. We conclude with discussion of the organizing principles that enabled </w:t>
      </w:r>
      <w:r w:rsidR="008457D5" w:rsidRPr="00972751">
        <w:rPr>
          <w:rFonts w:asciiTheme="majorHAnsi" w:hAnsiTheme="majorHAnsi"/>
          <w:sz w:val="24"/>
          <w:szCs w:val="24"/>
        </w:rPr>
        <w:t>a co-production</w:t>
      </w:r>
      <w:r w:rsidRPr="00972751">
        <w:rPr>
          <w:rFonts w:asciiTheme="majorHAnsi" w:hAnsiTheme="majorHAnsi"/>
          <w:sz w:val="24"/>
          <w:szCs w:val="24"/>
        </w:rPr>
        <w:t xml:space="preserve"> model to be implemented in the Portland re</w:t>
      </w:r>
      <w:r w:rsidR="008457D5" w:rsidRPr="00972751">
        <w:rPr>
          <w:rFonts w:asciiTheme="majorHAnsi" w:hAnsiTheme="majorHAnsi"/>
          <w:sz w:val="24"/>
          <w:szCs w:val="24"/>
        </w:rPr>
        <w:t xml:space="preserve">gion. </w:t>
      </w:r>
      <w:r w:rsidRPr="00972751">
        <w:rPr>
          <w:rFonts w:asciiTheme="majorHAnsi" w:hAnsiTheme="majorHAnsi"/>
          <w:sz w:val="24"/>
          <w:szCs w:val="24"/>
        </w:rPr>
        <w:t>Although our paper focuses on Portland, the process we have deve</w:t>
      </w:r>
      <w:r w:rsidRPr="00972751">
        <w:rPr>
          <w:rFonts w:asciiTheme="majorHAnsi" w:hAnsiTheme="majorHAnsi"/>
          <w:sz w:val="24"/>
          <w:szCs w:val="24"/>
        </w:rPr>
        <w:t>l</w:t>
      </w:r>
      <w:r w:rsidRPr="00972751">
        <w:rPr>
          <w:rFonts w:asciiTheme="majorHAnsi" w:hAnsiTheme="majorHAnsi"/>
          <w:sz w:val="24"/>
          <w:szCs w:val="24"/>
        </w:rPr>
        <w:t>oped for engaging researchers and planners is generally applicable, as are our findings.</w:t>
      </w:r>
    </w:p>
    <w:p w:rsidR="00972751" w:rsidRDefault="00972751" w:rsidP="00972751">
      <w:pPr>
        <w:pStyle w:val="normal0"/>
        <w:ind w:firstLine="720"/>
        <w:rPr>
          <w:rFonts w:asciiTheme="majorHAnsi" w:hAnsiTheme="majorHAnsi"/>
          <w:sz w:val="24"/>
          <w:szCs w:val="24"/>
        </w:rPr>
      </w:pPr>
      <w:r w:rsidRPr="00972751">
        <w:rPr>
          <w:rFonts w:asciiTheme="majorHAnsi" w:hAnsiTheme="majorHAnsi"/>
          <w:sz w:val="24"/>
          <w:szCs w:val="24"/>
        </w:rPr>
        <w:t xml:space="preserve">As an ultimate outcome of this project, we intend for community resilience plans to usher in an adaptive future wherein human </w:t>
      </w:r>
      <w:proofErr w:type="gramStart"/>
      <w:r w:rsidRPr="00972751">
        <w:rPr>
          <w:rFonts w:asciiTheme="majorHAnsi" w:hAnsiTheme="majorHAnsi"/>
          <w:sz w:val="24"/>
          <w:szCs w:val="24"/>
        </w:rPr>
        <w:t>well-being</w:t>
      </w:r>
      <w:proofErr w:type="gramEnd"/>
      <w:r w:rsidRPr="00972751">
        <w:rPr>
          <w:rFonts w:asciiTheme="majorHAnsi" w:hAnsiTheme="majorHAnsi"/>
          <w:sz w:val="24"/>
          <w:szCs w:val="24"/>
        </w:rPr>
        <w:t xml:space="preserve"> in cities is not only protected, but also improved, in the face of intensifying climate hazards. A practical and conceptual turn that portends this development is a “monitoring and phasing” (ibid.) approach to adaptation planning. Namely, in a recent paper, </w:t>
      </w:r>
      <w:proofErr w:type="spellStart"/>
      <w:r w:rsidRPr="00972751">
        <w:rPr>
          <w:rFonts w:asciiTheme="majorHAnsi" w:hAnsiTheme="majorHAnsi"/>
          <w:sz w:val="24"/>
          <w:szCs w:val="24"/>
        </w:rPr>
        <w:t>Abunassr</w:t>
      </w:r>
      <w:proofErr w:type="spellEnd"/>
      <w:r w:rsidRPr="00972751">
        <w:rPr>
          <w:rFonts w:asciiTheme="majorHAnsi" w:hAnsiTheme="majorHAnsi"/>
          <w:sz w:val="24"/>
          <w:szCs w:val="24"/>
        </w:rPr>
        <w:t xml:space="preserve"> and colleagues </w:t>
      </w:r>
      <w:r>
        <w:rPr>
          <w:rFonts w:asciiTheme="majorHAnsi" w:hAnsiTheme="majorHAnsi"/>
          <w:sz w:val="24"/>
          <w:szCs w:val="24"/>
        </w:rPr>
        <w:t xml:space="preserve">(2015_ </w:t>
      </w:r>
      <w:r w:rsidRPr="00972751">
        <w:rPr>
          <w:rFonts w:asciiTheme="majorHAnsi" w:hAnsiTheme="majorHAnsi"/>
          <w:sz w:val="24"/>
          <w:szCs w:val="24"/>
        </w:rPr>
        <w:t>argue that adaptation planning should deploy mechanisms of monitoring and phasing in order to overcome barriers of temporal uncertainty in climate change forecasting. In their pr</w:t>
      </w:r>
      <w:r w:rsidRPr="00972751">
        <w:rPr>
          <w:rFonts w:asciiTheme="majorHAnsi" w:hAnsiTheme="majorHAnsi"/>
          <w:sz w:val="24"/>
          <w:szCs w:val="24"/>
        </w:rPr>
        <w:t>e</w:t>
      </w:r>
      <w:r w:rsidRPr="00972751">
        <w:rPr>
          <w:rFonts w:asciiTheme="majorHAnsi" w:hAnsiTheme="majorHAnsi"/>
          <w:sz w:val="24"/>
          <w:szCs w:val="24"/>
        </w:rPr>
        <w:t>scriptions on planning, they center “no-regrets” policy options that address an immed</w:t>
      </w:r>
      <w:r w:rsidRPr="00972751">
        <w:rPr>
          <w:rFonts w:asciiTheme="majorHAnsi" w:hAnsiTheme="majorHAnsi"/>
          <w:sz w:val="24"/>
          <w:szCs w:val="24"/>
        </w:rPr>
        <w:t>i</w:t>
      </w:r>
      <w:r w:rsidRPr="00972751">
        <w:rPr>
          <w:rFonts w:asciiTheme="majorHAnsi" w:hAnsiTheme="majorHAnsi"/>
          <w:sz w:val="24"/>
          <w:szCs w:val="24"/>
        </w:rPr>
        <w:t>ate need and also incrementally rebuild social and physical infrastructure that recursiv</w:t>
      </w:r>
      <w:r w:rsidRPr="00972751">
        <w:rPr>
          <w:rFonts w:asciiTheme="majorHAnsi" w:hAnsiTheme="majorHAnsi"/>
          <w:sz w:val="24"/>
          <w:szCs w:val="24"/>
        </w:rPr>
        <w:t>e</w:t>
      </w:r>
      <w:r w:rsidRPr="00972751">
        <w:rPr>
          <w:rFonts w:asciiTheme="majorHAnsi" w:hAnsiTheme="majorHAnsi"/>
          <w:sz w:val="24"/>
          <w:szCs w:val="24"/>
        </w:rPr>
        <w:t>ly improves adaptive capacity.</w:t>
      </w:r>
    </w:p>
    <w:p w:rsidR="00E06C52" w:rsidRPr="00E06C52" w:rsidRDefault="00E06C52" w:rsidP="00E06C52">
      <w:pPr>
        <w:pStyle w:val="normal0"/>
        <w:ind w:firstLine="720"/>
        <w:rPr>
          <w:rFonts w:ascii="Helvetica" w:eastAsia="Helvetica" w:hAnsi="Helvetica" w:cs="Helvetica"/>
          <w:sz w:val="24"/>
          <w:szCs w:val="24"/>
        </w:rPr>
      </w:pPr>
      <w:r>
        <w:rPr>
          <w:rFonts w:ascii="Helvetica"/>
          <w:sz w:val="24"/>
          <w:szCs w:val="24"/>
        </w:rPr>
        <w:t>The output of the first phase of our co-productive effort yielded synthesized, vis</w:t>
      </w:r>
      <w:r>
        <w:rPr>
          <w:rFonts w:ascii="Helvetica"/>
          <w:sz w:val="24"/>
          <w:szCs w:val="24"/>
        </w:rPr>
        <w:t>u</w:t>
      </w:r>
      <w:r>
        <w:rPr>
          <w:rFonts w:ascii="Helvetica"/>
          <w:sz w:val="24"/>
          <w:szCs w:val="24"/>
        </w:rPr>
        <w:t>ally comprehensible, and geographically specified analysis of the factors of vulnerability as conceptualized by expert stakeholders. We recognize, however, that even with the multiplicity of data used to create them, these maps reduce the landscape to readily measurable dimensions and cannot describe the phenomenon as experienced by h</w:t>
      </w:r>
      <w:r>
        <w:rPr>
          <w:rFonts w:ascii="Helvetica"/>
          <w:sz w:val="24"/>
          <w:szCs w:val="24"/>
        </w:rPr>
        <w:t>u</w:t>
      </w:r>
      <w:r>
        <w:rPr>
          <w:rFonts w:ascii="Helvetica"/>
          <w:sz w:val="24"/>
          <w:szCs w:val="24"/>
        </w:rPr>
        <w:t>man subjects. As suggested by the heterogeneity of patterns by which vulnerability, or more accurately, its risk factors, presents itself on the city</w:t>
      </w:r>
      <w:r>
        <w:rPr>
          <w:rFonts w:hAnsi="Helvetica"/>
          <w:sz w:val="24"/>
          <w:szCs w:val="24"/>
        </w:rPr>
        <w:t>’</w:t>
      </w:r>
      <w:r>
        <w:rPr>
          <w:rFonts w:ascii="Helvetica"/>
          <w:sz w:val="24"/>
          <w:szCs w:val="24"/>
        </w:rPr>
        <w:t>s socio-ecological landscape, there is wide variety in the mechanisms by which vulnerability operates as a phenom</w:t>
      </w:r>
      <w:r>
        <w:rPr>
          <w:rFonts w:ascii="Helvetica"/>
          <w:sz w:val="24"/>
          <w:szCs w:val="24"/>
        </w:rPr>
        <w:t>e</w:t>
      </w:r>
      <w:r>
        <w:rPr>
          <w:rFonts w:ascii="Helvetica"/>
          <w:sz w:val="24"/>
          <w:szCs w:val="24"/>
        </w:rPr>
        <w:t>non. It is impossible to make informed decisions on planning for resilience without u</w:t>
      </w:r>
      <w:r>
        <w:rPr>
          <w:rFonts w:ascii="Helvetica"/>
          <w:sz w:val="24"/>
          <w:szCs w:val="24"/>
        </w:rPr>
        <w:t>n</w:t>
      </w:r>
      <w:r>
        <w:rPr>
          <w:rFonts w:ascii="Helvetica"/>
          <w:sz w:val="24"/>
          <w:szCs w:val="24"/>
        </w:rPr>
        <w:t>derstanding the diverse means by which vulnerability presents socio-ecological pro</w:t>
      </w:r>
      <w:r>
        <w:rPr>
          <w:rFonts w:ascii="Helvetica"/>
          <w:sz w:val="24"/>
          <w:szCs w:val="24"/>
        </w:rPr>
        <w:t>b</w:t>
      </w:r>
      <w:r>
        <w:rPr>
          <w:rFonts w:ascii="Helvetica"/>
          <w:sz w:val="24"/>
          <w:szCs w:val="24"/>
        </w:rPr>
        <w:t>lems in human experience.</w:t>
      </w:r>
    </w:p>
    <w:p w:rsidR="00972751" w:rsidRDefault="00972751" w:rsidP="00972751">
      <w:pPr>
        <w:pStyle w:val="normal0"/>
        <w:ind w:firstLine="720"/>
        <w:rPr>
          <w:rFonts w:asciiTheme="majorHAnsi" w:hAnsiTheme="majorHAnsi"/>
          <w:sz w:val="24"/>
          <w:szCs w:val="24"/>
        </w:rPr>
      </w:pPr>
    </w:p>
    <w:p w:rsidR="00E06C52" w:rsidRDefault="00E06C52" w:rsidP="00972751">
      <w:pPr>
        <w:pStyle w:val="normal0"/>
        <w:ind w:firstLine="720"/>
        <w:rPr>
          <w:rFonts w:asciiTheme="majorHAnsi" w:hAnsiTheme="majorHAnsi"/>
          <w:sz w:val="24"/>
          <w:szCs w:val="24"/>
        </w:rPr>
      </w:pPr>
    </w:p>
    <w:p w:rsidR="00E06C52" w:rsidRDefault="00E06C52" w:rsidP="00972751">
      <w:pPr>
        <w:pStyle w:val="normal0"/>
        <w:ind w:firstLine="720"/>
        <w:rPr>
          <w:rFonts w:asciiTheme="majorHAnsi" w:hAnsiTheme="majorHAnsi"/>
          <w:sz w:val="24"/>
          <w:szCs w:val="24"/>
        </w:rPr>
      </w:pPr>
    </w:p>
    <w:p w:rsidR="00E06C52" w:rsidRDefault="00E06C52" w:rsidP="00972751">
      <w:pPr>
        <w:pStyle w:val="normal0"/>
        <w:ind w:firstLine="720"/>
        <w:rPr>
          <w:rFonts w:asciiTheme="majorHAnsi" w:hAnsiTheme="majorHAnsi"/>
          <w:sz w:val="24"/>
          <w:szCs w:val="24"/>
        </w:rPr>
      </w:pPr>
      <w:bookmarkStart w:id="0" w:name="_GoBack"/>
      <w:bookmarkEnd w:id="0"/>
    </w:p>
    <w:p w:rsidR="00972751" w:rsidRPr="00972751" w:rsidRDefault="00972751" w:rsidP="00972751">
      <w:pPr>
        <w:pStyle w:val="normal0"/>
        <w:rPr>
          <w:rFonts w:asciiTheme="majorHAnsi" w:hAnsiTheme="majorHAnsi"/>
          <w:b/>
          <w:sz w:val="24"/>
          <w:szCs w:val="24"/>
        </w:rPr>
      </w:pPr>
      <w:r w:rsidRPr="00972751">
        <w:rPr>
          <w:rFonts w:asciiTheme="majorHAnsi" w:hAnsiTheme="majorHAnsi"/>
          <w:b/>
          <w:sz w:val="24"/>
          <w:szCs w:val="24"/>
        </w:rPr>
        <w:lastRenderedPageBreak/>
        <w:t>References</w:t>
      </w:r>
    </w:p>
    <w:p w:rsidR="00972751" w:rsidRDefault="00972751" w:rsidP="00972751">
      <w:pPr>
        <w:pStyle w:val="normal0"/>
        <w:rPr>
          <w:rFonts w:ascii="Helvetica" w:eastAsia="Helvetica" w:hAnsi="Helvetica" w:cs="Helvetica"/>
          <w:sz w:val="24"/>
          <w:szCs w:val="24"/>
        </w:rPr>
      </w:pPr>
      <w:proofErr w:type="spellStart"/>
      <w:r>
        <w:rPr>
          <w:rFonts w:ascii="Helvetica"/>
          <w:color w:val="222222"/>
          <w:sz w:val="24"/>
          <w:szCs w:val="24"/>
          <w:shd w:val="clear" w:color="auto" w:fill="FFFFFF"/>
        </w:rPr>
        <w:t>Abunnasr</w:t>
      </w:r>
      <w:proofErr w:type="spellEnd"/>
      <w:r>
        <w:rPr>
          <w:rFonts w:ascii="Helvetica"/>
          <w:color w:val="222222"/>
          <w:sz w:val="24"/>
          <w:szCs w:val="24"/>
          <w:shd w:val="clear" w:color="auto" w:fill="FFFFFF"/>
        </w:rPr>
        <w:t xml:space="preserve">, Y., </w:t>
      </w:r>
      <w:proofErr w:type="spellStart"/>
      <w:r>
        <w:rPr>
          <w:rFonts w:ascii="Helvetica"/>
          <w:color w:val="222222"/>
          <w:sz w:val="24"/>
          <w:szCs w:val="24"/>
          <w:shd w:val="clear" w:color="auto" w:fill="FFFFFF"/>
        </w:rPr>
        <w:t>Hamin</w:t>
      </w:r>
      <w:proofErr w:type="spellEnd"/>
      <w:r>
        <w:rPr>
          <w:rFonts w:ascii="Helvetica"/>
          <w:color w:val="222222"/>
          <w:sz w:val="24"/>
          <w:szCs w:val="24"/>
          <w:shd w:val="clear" w:color="auto" w:fill="FFFFFF"/>
        </w:rPr>
        <w:t xml:space="preserve">, E. M., &amp; </w:t>
      </w:r>
      <w:proofErr w:type="spellStart"/>
      <w:r>
        <w:rPr>
          <w:rFonts w:ascii="Helvetica"/>
          <w:color w:val="222222"/>
          <w:sz w:val="24"/>
          <w:szCs w:val="24"/>
          <w:shd w:val="clear" w:color="auto" w:fill="FFFFFF"/>
        </w:rPr>
        <w:t>Brabec</w:t>
      </w:r>
      <w:proofErr w:type="spellEnd"/>
      <w:r>
        <w:rPr>
          <w:rFonts w:ascii="Helvetica"/>
          <w:color w:val="222222"/>
          <w:sz w:val="24"/>
          <w:szCs w:val="24"/>
          <w:shd w:val="clear" w:color="auto" w:fill="FFFFFF"/>
        </w:rPr>
        <w:t xml:space="preserve">, E. (2015). Windows of opportunity: addressing climate uncertainty through adaptation plan implementation. </w:t>
      </w:r>
      <w:proofErr w:type="gramStart"/>
      <w:r>
        <w:rPr>
          <w:rFonts w:ascii="Helvetica"/>
          <w:i/>
          <w:iCs/>
          <w:color w:val="222222"/>
          <w:sz w:val="24"/>
          <w:szCs w:val="24"/>
          <w:shd w:val="clear" w:color="auto" w:fill="FFFFFF"/>
        </w:rPr>
        <w:t>Journal of Environmental Planning and Management</w:t>
      </w:r>
      <w:r>
        <w:rPr>
          <w:rFonts w:ascii="Helvetica"/>
          <w:color w:val="222222"/>
          <w:sz w:val="24"/>
          <w:szCs w:val="24"/>
          <w:shd w:val="clear" w:color="auto" w:fill="FFFFFF"/>
        </w:rPr>
        <w:t xml:space="preserve">, </w:t>
      </w:r>
      <w:r>
        <w:rPr>
          <w:rFonts w:ascii="Helvetica"/>
          <w:i/>
          <w:iCs/>
          <w:color w:val="222222"/>
          <w:sz w:val="24"/>
          <w:szCs w:val="24"/>
          <w:shd w:val="clear" w:color="auto" w:fill="FFFFFF"/>
        </w:rPr>
        <w:t>58</w:t>
      </w:r>
      <w:r>
        <w:rPr>
          <w:rFonts w:ascii="Helvetica"/>
          <w:color w:val="222222"/>
          <w:sz w:val="24"/>
          <w:szCs w:val="24"/>
          <w:shd w:val="clear" w:color="auto" w:fill="FFFFFF"/>
        </w:rPr>
        <w:t>(1), 135-155.</w:t>
      </w:r>
      <w:proofErr w:type="gramEnd"/>
    </w:p>
    <w:p w:rsidR="00972751" w:rsidRDefault="00972751" w:rsidP="00972751">
      <w:pPr>
        <w:pStyle w:val="normal0"/>
        <w:ind w:firstLine="720"/>
        <w:rPr>
          <w:rFonts w:asciiTheme="majorHAnsi" w:hAnsiTheme="majorHAnsi"/>
          <w:sz w:val="24"/>
          <w:szCs w:val="24"/>
        </w:rPr>
      </w:pPr>
    </w:p>
    <w:p w:rsidR="00972751" w:rsidRDefault="00972751" w:rsidP="00972751">
      <w:pPr>
        <w:pStyle w:val="normal0"/>
        <w:rPr>
          <w:rFonts w:ascii="Helvetica"/>
          <w:color w:val="222222"/>
          <w:sz w:val="24"/>
          <w:szCs w:val="24"/>
          <w:shd w:val="clear" w:color="auto" w:fill="FFFFFF"/>
        </w:rPr>
      </w:pPr>
      <w:proofErr w:type="spellStart"/>
      <w:proofErr w:type="gramStart"/>
      <w:r>
        <w:rPr>
          <w:rFonts w:ascii="Helvetica"/>
          <w:color w:val="222222"/>
          <w:sz w:val="24"/>
          <w:szCs w:val="24"/>
          <w:shd w:val="clear" w:color="auto" w:fill="FFFFFF"/>
        </w:rPr>
        <w:t>Adger</w:t>
      </w:r>
      <w:proofErr w:type="spellEnd"/>
      <w:r>
        <w:rPr>
          <w:rFonts w:ascii="Helvetica"/>
          <w:color w:val="222222"/>
          <w:sz w:val="24"/>
          <w:szCs w:val="24"/>
          <w:shd w:val="clear" w:color="auto" w:fill="FFFFFF"/>
        </w:rPr>
        <w:t>, W. N. (2006).</w:t>
      </w:r>
      <w:proofErr w:type="gramEnd"/>
      <w:r>
        <w:rPr>
          <w:rFonts w:ascii="Helvetica"/>
          <w:color w:val="222222"/>
          <w:sz w:val="24"/>
          <w:szCs w:val="24"/>
          <w:shd w:val="clear" w:color="auto" w:fill="FFFFFF"/>
        </w:rPr>
        <w:t xml:space="preserve"> Vulnerability. </w:t>
      </w:r>
      <w:r>
        <w:rPr>
          <w:rFonts w:ascii="Helvetica"/>
          <w:i/>
          <w:iCs/>
          <w:color w:val="222222"/>
          <w:sz w:val="24"/>
          <w:szCs w:val="24"/>
          <w:shd w:val="clear" w:color="auto" w:fill="FFFFFF"/>
        </w:rPr>
        <w:t>Global environmental change</w:t>
      </w:r>
      <w:r>
        <w:rPr>
          <w:rFonts w:ascii="Helvetica"/>
          <w:color w:val="222222"/>
          <w:sz w:val="24"/>
          <w:szCs w:val="24"/>
          <w:shd w:val="clear" w:color="auto" w:fill="FFFFFF"/>
        </w:rPr>
        <w:t xml:space="preserve">, </w:t>
      </w:r>
      <w:r>
        <w:rPr>
          <w:rFonts w:ascii="Helvetica"/>
          <w:i/>
          <w:iCs/>
          <w:color w:val="222222"/>
          <w:sz w:val="24"/>
          <w:szCs w:val="24"/>
          <w:shd w:val="clear" w:color="auto" w:fill="FFFFFF"/>
        </w:rPr>
        <w:t>16</w:t>
      </w:r>
      <w:r>
        <w:rPr>
          <w:rFonts w:ascii="Helvetica"/>
          <w:color w:val="222222"/>
          <w:sz w:val="24"/>
          <w:szCs w:val="24"/>
          <w:shd w:val="clear" w:color="auto" w:fill="FFFFFF"/>
        </w:rPr>
        <w:t>(3), 268-281.</w:t>
      </w:r>
    </w:p>
    <w:p w:rsidR="00972751" w:rsidRDefault="00972751" w:rsidP="00972751">
      <w:pPr>
        <w:pStyle w:val="normal0"/>
        <w:rPr>
          <w:rFonts w:asciiTheme="majorHAnsi" w:hAnsiTheme="majorHAnsi"/>
          <w:sz w:val="24"/>
          <w:szCs w:val="24"/>
        </w:rPr>
      </w:pPr>
      <w:r w:rsidRPr="00972751">
        <w:rPr>
          <w:rFonts w:asciiTheme="majorHAnsi" w:hAnsiTheme="majorHAnsi"/>
          <w:sz w:val="24"/>
          <w:szCs w:val="24"/>
        </w:rPr>
        <w:t xml:space="preserve"> </w:t>
      </w:r>
    </w:p>
    <w:p w:rsidR="00972751" w:rsidRDefault="00972751" w:rsidP="00972751">
      <w:pPr>
        <w:pStyle w:val="normal0"/>
        <w:rPr>
          <w:rFonts w:ascii="Helvetica" w:eastAsia="Helvetica" w:hAnsi="Helvetica" w:cs="Helvetica"/>
          <w:sz w:val="24"/>
          <w:szCs w:val="24"/>
        </w:rPr>
      </w:pPr>
      <w:proofErr w:type="gramStart"/>
      <w:r>
        <w:rPr>
          <w:rFonts w:ascii="Helvetica"/>
          <w:color w:val="222222"/>
          <w:sz w:val="24"/>
          <w:szCs w:val="24"/>
          <w:shd w:val="clear" w:color="auto" w:fill="FFFFFF"/>
        </w:rPr>
        <w:t xml:space="preserve">Cutter, S., </w:t>
      </w:r>
      <w:proofErr w:type="spellStart"/>
      <w:r>
        <w:rPr>
          <w:rFonts w:ascii="Helvetica"/>
          <w:color w:val="222222"/>
          <w:sz w:val="24"/>
          <w:szCs w:val="24"/>
          <w:shd w:val="clear" w:color="auto" w:fill="FFFFFF"/>
        </w:rPr>
        <w:t>Boruff</w:t>
      </w:r>
      <w:proofErr w:type="spellEnd"/>
      <w:r>
        <w:rPr>
          <w:rFonts w:ascii="Helvetica"/>
          <w:color w:val="222222"/>
          <w:sz w:val="24"/>
          <w:szCs w:val="24"/>
          <w:shd w:val="clear" w:color="auto" w:fill="FFFFFF"/>
        </w:rPr>
        <w:t>, B. J., &amp; Shirley, W. L. (2006).</w:t>
      </w:r>
      <w:proofErr w:type="gramEnd"/>
      <w:r>
        <w:rPr>
          <w:rFonts w:ascii="Helvetica"/>
          <w:color w:val="222222"/>
          <w:sz w:val="24"/>
          <w:szCs w:val="24"/>
          <w:shd w:val="clear" w:color="auto" w:fill="FFFFFF"/>
        </w:rPr>
        <w:t xml:space="preserve"> </w:t>
      </w:r>
      <w:proofErr w:type="gramStart"/>
      <w:r>
        <w:rPr>
          <w:rFonts w:ascii="Helvetica"/>
          <w:color w:val="222222"/>
          <w:sz w:val="24"/>
          <w:szCs w:val="24"/>
          <w:shd w:val="clear" w:color="auto" w:fill="FFFFFF"/>
        </w:rPr>
        <w:t>Social Vulnerability to Environmental Hazards.</w:t>
      </w:r>
      <w:proofErr w:type="gramEnd"/>
      <w:r>
        <w:rPr>
          <w:rFonts w:ascii="Helvetica"/>
          <w:color w:val="222222"/>
          <w:sz w:val="24"/>
          <w:szCs w:val="24"/>
          <w:shd w:val="clear" w:color="auto" w:fill="FFFFFF"/>
        </w:rPr>
        <w:t xml:space="preserve"> </w:t>
      </w:r>
      <w:proofErr w:type="gramStart"/>
      <w:r>
        <w:rPr>
          <w:rFonts w:ascii="Helvetica"/>
          <w:color w:val="222222"/>
          <w:sz w:val="24"/>
          <w:szCs w:val="24"/>
          <w:shd w:val="clear" w:color="auto" w:fill="FFFFFF"/>
        </w:rPr>
        <w:t>Hazards, Vulnerability, and Environmental Justice, 115-132.</w:t>
      </w:r>
      <w:proofErr w:type="gramEnd"/>
    </w:p>
    <w:p w:rsidR="00972751" w:rsidRDefault="00972751" w:rsidP="00972751">
      <w:pPr>
        <w:pStyle w:val="normal0"/>
        <w:rPr>
          <w:rFonts w:asciiTheme="majorHAnsi" w:eastAsia="Helvetica" w:hAnsiTheme="majorHAnsi" w:cs="Helvetica"/>
        </w:rPr>
      </w:pPr>
    </w:p>
    <w:p w:rsidR="00972751" w:rsidRDefault="00972751" w:rsidP="00972751">
      <w:pPr>
        <w:pStyle w:val="normal0"/>
        <w:rPr>
          <w:rFonts w:ascii="Helvetica"/>
          <w:color w:val="222222"/>
          <w:sz w:val="24"/>
          <w:szCs w:val="24"/>
          <w:shd w:val="clear" w:color="auto" w:fill="FFFFFF"/>
        </w:rPr>
      </w:pPr>
      <w:r>
        <w:rPr>
          <w:rFonts w:ascii="Helvetica"/>
          <w:color w:val="222222"/>
          <w:sz w:val="24"/>
          <w:szCs w:val="24"/>
          <w:shd w:val="clear" w:color="auto" w:fill="FFFFFF"/>
        </w:rPr>
        <w:t>McLaughlin, P., &amp; Dietz, T. (2008). Structure, agency and environment: Toward an int</w:t>
      </w:r>
      <w:r>
        <w:rPr>
          <w:rFonts w:ascii="Helvetica"/>
          <w:color w:val="222222"/>
          <w:sz w:val="24"/>
          <w:szCs w:val="24"/>
          <w:shd w:val="clear" w:color="auto" w:fill="FFFFFF"/>
        </w:rPr>
        <w:t>e</w:t>
      </w:r>
      <w:r>
        <w:rPr>
          <w:rFonts w:ascii="Helvetica"/>
          <w:color w:val="222222"/>
          <w:sz w:val="24"/>
          <w:szCs w:val="24"/>
          <w:shd w:val="clear" w:color="auto" w:fill="FFFFFF"/>
        </w:rPr>
        <w:t xml:space="preserve">grated perspective on vulnerability. </w:t>
      </w:r>
      <w:proofErr w:type="gramStart"/>
      <w:r>
        <w:rPr>
          <w:rFonts w:ascii="Helvetica"/>
          <w:color w:val="222222"/>
          <w:sz w:val="24"/>
          <w:szCs w:val="24"/>
          <w:shd w:val="clear" w:color="auto" w:fill="FFFFFF"/>
        </w:rPr>
        <w:t>Global Environmental Change, 18(1), 99-111.</w:t>
      </w:r>
      <w:proofErr w:type="gramEnd"/>
    </w:p>
    <w:p w:rsidR="00972751" w:rsidRDefault="00972751" w:rsidP="00972751">
      <w:pPr>
        <w:pStyle w:val="normal0"/>
        <w:rPr>
          <w:rFonts w:ascii="Helvetica"/>
          <w:color w:val="222222"/>
          <w:sz w:val="24"/>
          <w:szCs w:val="24"/>
          <w:shd w:val="clear" w:color="auto" w:fill="FFFFFF"/>
        </w:rPr>
      </w:pPr>
    </w:p>
    <w:p w:rsidR="00972751" w:rsidRDefault="00972751" w:rsidP="00972751">
      <w:pPr>
        <w:pStyle w:val="normal0"/>
        <w:rPr>
          <w:rFonts w:ascii="Helvetica" w:eastAsia="Helvetica" w:hAnsi="Helvetica" w:cs="Helvetica"/>
          <w:sz w:val="24"/>
          <w:szCs w:val="24"/>
        </w:rPr>
      </w:pPr>
      <w:proofErr w:type="spellStart"/>
      <w:r>
        <w:rPr>
          <w:rFonts w:ascii="Helvetica"/>
          <w:sz w:val="24"/>
          <w:szCs w:val="24"/>
        </w:rPr>
        <w:t>Polsky</w:t>
      </w:r>
      <w:proofErr w:type="spellEnd"/>
      <w:r>
        <w:rPr>
          <w:rFonts w:ascii="Helvetica"/>
          <w:sz w:val="24"/>
          <w:szCs w:val="24"/>
        </w:rPr>
        <w:t xml:space="preserve">, C., Neff, R., &amp; </w:t>
      </w:r>
      <w:proofErr w:type="spellStart"/>
      <w:r>
        <w:rPr>
          <w:rFonts w:ascii="Helvetica"/>
          <w:sz w:val="24"/>
          <w:szCs w:val="24"/>
        </w:rPr>
        <w:t>Yarnal</w:t>
      </w:r>
      <w:proofErr w:type="spellEnd"/>
      <w:r>
        <w:rPr>
          <w:rFonts w:ascii="Helvetica"/>
          <w:sz w:val="24"/>
          <w:szCs w:val="24"/>
        </w:rPr>
        <w:t>, B. (2007). Building comparable global change vulnerabi</w:t>
      </w:r>
      <w:r>
        <w:rPr>
          <w:rFonts w:ascii="Helvetica"/>
          <w:sz w:val="24"/>
          <w:szCs w:val="24"/>
        </w:rPr>
        <w:t>l</w:t>
      </w:r>
      <w:r>
        <w:rPr>
          <w:rFonts w:ascii="Helvetica"/>
          <w:sz w:val="24"/>
          <w:szCs w:val="24"/>
        </w:rPr>
        <w:t xml:space="preserve">ity assessments: The </w:t>
      </w:r>
      <w:proofErr w:type="gramStart"/>
      <w:r>
        <w:rPr>
          <w:rFonts w:ascii="Helvetica"/>
          <w:sz w:val="24"/>
          <w:szCs w:val="24"/>
        </w:rPr>
        <w:t>vulnerability scoping</w:t>
      </w:r>
      <w:proofErr w:type="gramEnd"/>
      <w:r>
        <w:rPr>
          <w:rFonts w:ascii="Helvetica"/>
          <w:sz w:val="24"/>
          <w:szCs w:val="24"/>
        </w:rPr>
        <w:t xml:space="preserve"> diagram. </w:t>
      </w:r>
      <w:proofErr w:type="gramStart"/>
      <w:r>
        <w:rPr>
          <w:rFonts w:ascii="Helvetica"/>
          <w:sz w:val="24"/>
          <w:szCs w:val="24"/>
        </w:rPr>
        <w:t>Global Environmental Change, 17(3), 472-485.</w:t>
      </w:r>
      <w:proofErr w:type="gramEnd"/>
    </w:p>
    <w:p w:rsidR="00972751" w:rsidRDefault="00972751" w:rsidP="00972751">
      <w:pPr>
        <w:pStyle w:val="normal0"/>
        <w:rPr>
          <w:rFonts w:ascii="Helvetica" w:eastAsia="Helvetica" w:hAnsi="Helvetica" w:cs="Helvetica"/>
          <w:sz w:val="24"/>
          <w:szCs w:val="24"/>
        </w:rPr>
      </w:pPr>
    </w:p>
    <w:p w:rsidR="00972751" w:rsidRPr="00972751" w:rsidRDefault="00972751" w:rsidP="00972751">
      <w:pPr>
        <w:pStyle w:val="normal0"/>
        <w:rPr>
          <w:rFonts w:asciiTheme="majorHAnsi" w:eastAsia="Helvetica" w:hAnsiTheme="majorHAnsi" w:cs="Helvetica"/>
        </w:rPr>
      </w:pPr>
    </w:p>
    <w:sectPr w:rsidR="00972751" w:rsidRPr="00972751">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51" w:rsidRDefault="00972751">
      <w:r>
        <w:separator/>
      </w:r>
    </w:p>
  </w:endnote>
  <w:endnote w:type="continuationSeparator" w:id="0">
    <w:p w:rsidR="00972751" w:rsidRDefault="0097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0000000000000000000"/>
    <w:charset w:val="00"/>
    <w:family w:val="auto"/>
    <w:pitch w:val="variable"/>
    <w:sig w:usb0="A00002FF" w:usb1="7800205A" w:usb2="14600000" w:usb3="00000000" w:csb0="00000193"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51" w:rsidRDefault="00972751" w:rsidP="00194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2751" w:rsidRDefault="009727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51" w:rsidRDefault="00972751" w:rsidP="00194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C52">
      <w:rPr>
        <w:rStyle w:val="PageNumber"/>
        <w:noProof/>
      </w:rPr>
      <w:t>1</w:t>
    </w:r>
    <w:r>
      <w:rPr>
        <w:rStyle w:val="PageNumber"/>
      </w:rPr>
      <w:fldChar w:fldCharType="end"/>
    </w:r>
  </w:p>
  <w:p w:rsidR="00972751" w:rsidRDefault="0097275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51" w:rsidRDefault="00972751">
      <w:r>
        <w:separator/>
      </w:r>
    </w:p>
  </w:footnote>
  <w:footnote w:type="continuationSeparator" w:id="0">
    <w:p w:rsidR="00972751" w:rsidRDefault="00972751">
      <w:r>
        <w:continuationSeparator/>
      </w:r>
    </w:p>
  </w:footnote>
  <w:footnote w:type="continuationNotice" w:id="1">
    <w:p w:rsidR="00972751" w:rsidRDefault="0097275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4EF"/>
    <w:multiLevelType w:val="multilevel"/>
    <w:tmpl w:val="207A4F08"/>
    <w:styleLink w:val="List0"/>
    <w:lvl w:ilvl="0">
      <w:start w:val="1"/>
      <w:numFmt w:val="decimal"/>
      <w:lvlText w:val="%1."/>
      <w:lvlJc w:val="left"/>
      <w:pPr>
        <w:tabs>
          <w:tab w:val="num" w:pos="360"/>
        </w:tabs>
        <w:ind w:left="360" w:hanging="360"/>
      </w:pPr>
      <w:rPr>
        <w:rFonts w:ascii="Palatino" w:eastAsia="Palatino" w:hAnsi="Palatino" w:cs="Palatino"/>
        <w:b/>
        <w:bCs/>
        <w:position w:val="0"/>
        <w:sz w:val="24"/>
        <w:szCs w:val="24"/>
        <w:lang w:val="en-US"/>
      </w:rPr>
    </w:lvl>
    <w:lvl w:ilvl="1">
      <w:start w:val="1"/>
      <w:numFmt w:val="decimal"/>
      <w:lvlText w:val="%2."/>
      <w:lvlJc w:val="left"/>
      <w:pPr>
        <w:tabs>
          <w:tab w:val="num" w:pos="753"/>
        </w:tabs>
        <w:ind w:left="753" w:hanging="393"/>
      </w:pPr>
      <w:rPr>
        <w:rFonts w:ascii="Palatino" w:eastAsia="Palatino" w:hAnsi="Palatino" w:cs="Palatino"/>
        <w:b/>
        <w:bCs/>
        <w:position w:val="0"/>
        <w:sz w:val="24"/>
        <w:szCs w:val="24"/>
        <w:lang w:val="en-US"/>
      </w:rPr>
    </w:lvl>
    <w:lvl w:ilvl="2">
      <w:start w:val="1"/>
      <w:numFmt w:val="decimal"/>
      <w:lvlText w:val="%3."/>
      <w:lvlJc w:val="left"/>
      <w:pPr>
        <w:tabs>
          <w:tab w:val="num" w:pos="1113"/>
        </w:tabs>
        <w:ind w:left="1113" w:hanging="393"/>
      </w:pPr>
      <w:rPr>
        <w:rFonts w:ascii="Palatino" w:eastAsia="Palatino" w:hAnsi="Palatino" w:cs="Palatino"/>
        <w:b/>
        <w:bCs/>
        <w:position w:val="0"/>
        <w:sz w:val="24"/>
        <w:szCs w:val="24"/>
        <w:lang w:val="en-US"/>
      </w:rPr>
    </w:lvl>
    <w:lvl w:ilvl="3">
      <w:start w:val="1"/>
      <w:numFmt w:val="decimal"/>
      <w:lvlText w:val="%4."/>
      <w:lvlJc w:val="left"/>
      <w:pPr>
        <w:tabs>
          <w:tab w:val="num" w:pos="1473"/>
        </w:tabs>
        <w:ind w:left="1473" w:hanging="393"/>
      </w:pPr>
      <w:rPr>
        <w:rFonts w:ascii="Palatino" w:eastAsia="Palatino" w:hAnsi="Palatino" w:cs="Palatino"/>
        <w:b/>
        <w:bCs/>
        <w:position w:val="0"/>
        <w:sz w:val="24"/>
        <w:szCs w:val="24"/>
        <w:lang w:val="en-US"/>
      </w:rPr>
    </w:lvl>
    <w:lvl w:ilvl="4">
      <w:start w:val="1"/>
      <w:numFmt w:val="decimal"/>
      <w:lvlText w:val="%5."/>
      <w:lvlJc w:val="left"/>
      <w:pPr>
        <w:tabs>
          <w:tab w:val="num" w:pos="1833"/>
        </w:tabs>
        <w:ind w:left="1833" w:hanging="393"/>
      </w:pPr>
      <w:rPr>
        <w:rFonts w:ascii="Palatino" w:eastAsia="Palatino" w:hAnsi="Palatino" w:cs="Palatino"/>
        <w:b/>
        <w:bCs/>
        <w:position w:val="0"/>
        <w:sz w:val="24"/>
        <w:szCs w:val="24"/>
        <w:lang w:val="en-US"/>
      </w:rPr>
    </w:lvl>
    <w:lvl w:ilvl="5">
      <w:start w:val="1"/>
      <w:numFmt w:val="decimal"/>
      <w:lvlText w:val="%6."/>
      <w:lvlJc w:val="left"/>
      <w:pPr>
        <w:tabs>
          <w:tab w:val="num" w:pos="2193"/>
        </w:tabs>
        <w:ind w:left="2193" w:hanging="393"/>
      </w:pPr>
      <w:rPr>
        <w:rFonts w:ascii="Palatino" w:eastAsia="Palatino" w:hAnsi="Palatino" w:cs="Palatino"/>
        <w:b/>
        <w:bCs/>
        <w:position w:val="0"/>
        <w:sz w:val="24"/>
        <w:szCs w:val="24"/>
        <w:lang w:val="en-US"/>
      </w:rPr>
    </w:lvl>
    <w:lvl w:ilvl="6">
      <w:start w:val="1"/>
      <w:numFmt w:val="decimal"/>
      <w:lvlText w:val="%7."/>
      <w:lvlJc w:val="left"/>
      <w:pPr>
        <w:tabs>
          <w:tab w:val="num" w:pos="2553"/>
        </w:tabs>
        <w:ind w:left="2553" w:hanging="393"/>
      </w:pPr>
      <w:rPr>
        <w:rFonts w:ascii="Palatino" w:eastAsia="Palatino" w:hAnsi="Palatino" w:cs="Palatino"/>
        <w:b/>
        <w:bCs/>
        <w:position w:val="0"/>
        <w:sz w:val="24"/>
        <w:szCs w:val="24"/>
        <w:lang w:val="en-US"/>
      </w:rPr>
    </w:lvl>
    <w:lvl w:ilvl="7">
      <w:start w:val="1"/>
      <w:numFmt w:val="decimal"/>
      <w:lvlText w:val="%8."/>
      <w:lvlJc w:val="left"/>
      <w:pPr>
        <w:tabs>
          <w:tab w:val="num" w:pos="2913"/>
        </w:tabs>
        <w:ind w:left="2913" w:hanging="393"/>
      </w:pPr>
      <w:rPr>
        <w:rFonts w:ascii="Palatino" w:eastAsia="Palatino" w:hAnsi="Palatino" w:cs="Palatino"/>
        <w:b/>
        <w:bCs/>
        <w:position w:val="0"/>
        <w:sz w:val="24"/>
        <w:szCs w:val="24"/>
        <w:lang w:val="en-US"/>
      </w:rPr>
    </w:lvl>
    <w:lvl w:ilvl="8">
      <w:start w:val="1"/>
      <w:numFmt w:val="decimal"/>
      <w:lvlText w:val="%9."/>
      <w:lvlJc w:val="left"/>
      <w:pPr>
        <w:tabs>
          <w:tab w:val="num" w:pos="3273"/>
        </w:tabs>
        <w:ind w:left="3273" w:hanging="393"/>
      </w:pPr>
      <w:rPr>
        <w:rFonts w:ascii="Palatino" w:eastAsia="Palatino" w:hAnsi="Palatino" w:cs="Palatino"/>
        <w:b/>
        <w:bCs/>
        <w:position w:val="0"/>
        <w:sz w:val="24"/>
        <w:szCs w:val="24"/>
        <w:lang w:val="en-US"/>
      </w:rPr>
    </w:lvl>
  </w:abstractNum>
  <w:abstractNum w:abstractNumId="1">
    <w:nsid w:val="1B333B20"/>
    <w:multiLevelType w:val="multilevel"/>
    <w:tmpl w:val="0FEAFB50"/>
    <w:lvl w:ilvl="0">
      <w:start w:val="1"/>
      <w:numFmt w:val="decimal"/>
      <w:lvlText w:val="%1."/>
      <w:lvlJc w:val="left"/>
      <w:pPr>
        <w:tabs>
          <w:tab w:val="num" w:pos="360"/>
        </w:tabs>
        <w:ind w:left="360" w:hanging="360"/>
      </w:pPr>
      <w:rPr>
        <w:rFonts w:ascii="Palatino" w:eastAsia="Palatino" w:hAnsi="Palatino" w:cs="Palatino"/>
        <w:b/>
        <w:bCs/>
        <w:position w:val="0"/>
        <w:sz w:val="24"/>
        <w:szCs w:val="24"/>
        <w:lang w:val="en-US"/>
      </w:rPr>
    </w:lvl>
    <w:lvl w:ilvl="1">
      <w:start w:val="1"/>
      <w:numFmt w:val="decimal"/>
      <w:lvlText w:val="%2."/>
      <w:lvlJc w:val="left"/>
      <w:pPr>
        <w:tabs>
          <w:tab w:val="num" w:pos="753"/>
        </w:tabs>
        <w:ind w:left="753" w:hanging="393"/>
      </w:pPr>
      <w:rPr>
        <w:rFonts w:ascii="Palatino" w:eastAsia="Palatino" w:hAnsi="Palatino" w:cs="Palatino"/>
        <w:b/>
        <w:bCs/>
        <w:position w:val="0"/>
        <w:sz w:val="24"/>
        <w:szCs w:val="24"/>
        <w:lang w:val="en-US"/>
      </w:rPr>
    </w:lvl>
    <w:lvl w:ilvl="2">
      <w:start w:val="1"/>
      <w:numFmt w:val="decimal"/>
      <w:lvlText w:val="%3."/>
      <w:lvlJc w:val="left"/>
      <w:pPr>
        <w:tabs>
          <w:tab w:val="num" w:pos="1113"/>
        </w:tabs>
        <w:ind w:left="1113" w:hanging="393"/>
      </w:pPr>
      <w:rPr>
        <w:rFonts w:ascii="Palatino" w:eastAsia="Palatino" w:hAnsi="Palatino" w:cs="Palatino"/>
        <w:b/>
        <w:bCs/>
        <w:position w:val="0"/>
        <w:sz w:val="24"/>
        <w:szCs w:val="24"/>
        <w:lang w:val="en-US"/>
      </w:rPr>
    </w:lvl>
    <w:lvl w:ilvl="3">
      <w:start w:val="1"/>
      <w:numFmt w:val="decimal"/>
      <w:lvlText w:val="%4."/>
      <w:lvlJc w:val="left"/>
      <w:pPr>
        <w:tabs>
          <w:tab w:val="num" w:pos="1473"/>
        </w:tabs>
        <w:ind w:left="1473" w:hanging="393"/>
      </w:pPr>
      <w:rPr>
        <w:rFonts w:ascii="Palatino" w:eastAsia="Palatino" w:hAnsi="Palatino" w:cs="Palatino"/>
        <w:b/>
        <w:bCs/>
        <w:position w:val="0"/>
        <w:sz w:val="24"/>
        <w:szCs w:val="24"/>
        <w:lang w:val="en-US"/>
      </w:rPr>
    </w:lvl>
    <w:lvl w:ilvl="4">
      <w:start w:val="1"/>
      <w:numFmt w:val="decimal"/>
      <w:lvlText w:val="%5."/>
      <w:lvlJc w:val="left"/>
      <w:pPr>
        <w:tabs>
          <w:tab w:val="num" w:pos="1833"/>
        </w:tabs>
        <w:ind w:left="1833" w:hanging="393"/>
      </w:pPr>
      <w:rPr>
        <w:rFonts w:ascii="Palatino" w:eastAsia="Palatino" w:hAnsi="Palatino" w:cs="Palatino"/>
        <w:b/>
        <w:bCs/>
        <w:position w:val="0"/>
        <w:sz w:val="24"/>
        <w:szCs w:val="24"/>
        <w:lang w:val="en-US"/>
      </w:rPr>
    </w:lvl>
    <w:lvl w:ilvl="5">
      <w:start w:val="1"/>
      <w:numFmt w:val="decimal"/>
      <w:lvlText w:val="%6."/>
      <w:lvlJc w:val="left"/>
      <w:pPr>
        <w:tabs>
          <w:tab w:val="num" w:pos="2193"/>
        </w:tabs>
        <w:ind w:left="2193" w:hanging="393"/>
      </w:pPr>
      <w:rPr>
        <w:rFonts w:ascii="Palatino" w:eastAsia="Palatino" w:hAnsi="Palatino" w:cs="Palatino"/>
        <w:b/>
        <w:bCs/>
        <w:position w:val="0"/>
        <w:sz w:val="24"/>
        <w:szCs w:val="24"/>
        <w:lang w:val="en-US"/>
      </w:rPr>
    </w:lvl>
    <w:lvl w:ilvl="6">
      <w:start w:val="1"/>
      <w:numFmt w:val="decimal"/>
      <w:lvlText w:val="%7."/>
      <w:lvlJc w:val="left"/>
      <w:pPr>
        <w:tabs>
          <w:tab w:val="num" w:pos="2553"/>
        </w:tabs>
        <w:ind w:left="2553" w:hanging="393"/>
      </w:pPr>
      <w:rPr>
        <w:rFonts w:ascii="Palatino" w:eastAsia="Palatino" w:hAnsi="Palatino" w:cs="Palatino"/>
        <w:b/>
        <w:bCs/>
        <w:position w:val="0"/>
        <w:sz w:val="24"/>
        <w:szCs w:val="24"/>
        <w:lang w:val="en-US"/>
      </w:rPr>
    </w:lvl>
    <w:lvl w:ilvl="7">
      <w:start w:val="1"/>
      <w:numFmt w:val="decimal"/>
      <w:lvlText w:val="%8."/>
      <w:lvlJc w:val="left"/>
      <w:pPr>
        <w:tabs>
          <w:tab w:val="num" w:pos="2913"/>
        </w:tabs>
        <w:ind w:left="2913" w:hanging="393"/>
      </w:pPr>
      <w:rPr>
        <w:rFonts w:ascii="Palatino" w:eastAsia="Palatino" w:hAnsi="Palatino" w:cs="Palatino"/>
        <w:b/>
        <w:bCs/>
        <w:position w:val="0"/>
        <w:sz w:val="24"/>
        <w:szCs w:val="24"/>
        <w:lang w:val="en-US"/>
      </w:rPr>
    </w:lvl>
    <w:lvl w:ilvl="8">
      <w:start w:val="1"/>
      <w:numFmt w:val="decimal"/>
      <w:lvlText w:val="%9."/>
      <w:lvlJc w:val="left"/>
      <w:pPr>
        <w:tabs>
          <w:tab w:val="num" w:pos="3273"/>
        </w:tabs>
        <w:ind w:left="3273" w:hanging="393"/>
      </w:pPr>
      <w:rPr>
        <w:rFonts w:ascii="Palatino" w:eastAsia="Palatino" w:hAnsi="Palatino" w:cs="Palatino"/>
        <w:b/>
        <w:bCs/>
        <w:position w:val="0"/>
        <w:sz w:val="24"/>
        <w:szCs w:val="24"/>
        <w:lang w:val="en-US"/>
      </w:rPr>
    </w:lvl>
  </w:abstractNum>
  <w:abstractNum w:abstractNumId="2">
    <w:nsid w:val="6AF92157"/>
    <w:multiLevelType w:val="multilevel"/>
    <w:tmpl w:val="9BFA664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DD2CCB"/>
    <w:rsid w:val="00194B91"/>
    <w:rsid w:val="001C1084"/>
    <w:rsid w:val="002C6CAC"/>
    <w:rsid w:val="003B5B41"/>
    <w:rsid w:val="00661FBD"/>
    <w:rsid w:val="00737B5E"/>
    <w:rsid w:val="008040DC"/>
    <w:rsid w:val="00813E95"/>
    <w:rsid w:val="008457D5"/>
    <w:rsid w:val="0089670B"/>
    <w:rsid w:val="008D4536"/>
    <w:rsid w:val="00972751"/>
    <w:rsid w:val="009838CA"/>
    <w:rsid w:val="00AA358E"/>
    <w:rsid w:val="00BB4581"/>
    <w:rsid w:val="00CF7827"/>
    <w:rsid w:val="00DD2CCB"/>
    <w:rsid w:val="00E0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line="276" w:lineRule="auto"/>
    </w:pPr>
    <w:rPr>
      <w:rFonts w:ascii="Arial"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Footnote">
    <w:name w:val="Footnote"/>
    <w:rPr>
      <w:rFonts w:ascii="Helvetica" w:eastAsia="Helvetica" w:hAnsi="Helvetica" w:cs="Helvetica"/>
      <w:color w:val="000000"/>
      <w:sz w:val="22"/>
      <w:szCs w:val="22"/>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37B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B5E"/>
    <w:rPr>
      <w:rFonts w:ascii="Lucida Grande" w:hAnsi="Lucida Grande" w:cs="Lucida Grande"/>
      <w:sz w:val="18"/>
      <w:szCs w:val="18"/>
    </w:rPr>
  </w:style>
  <w:style w:type="paragraph" w:styleId="Footer">
    <w:name w:val="footer"/>
    <w:basedOn w:val="Normal"/>
    <w:link w:val="FooterChar"/>
    <w:uiPriority w:val="99"/>
    <w:unhideWhenUsed/>
    <w:rsid w:val="00194B91"/>
    <w:pPr>
      <w:tabs>
        <w:tab w:val="center" w:pos="4320"/>
        <w:tab w:val="right" w:pos="8640"/>
      </w:tabs>
    </w:pPr>
  </w:style>
  <w:style w:type="character" w:customStyle="1" w:styleId="FooterChar">
    <w:name w:val="Footer Char"/>
    <w:basedOn w:val="DefaultParagraphFont"/>
    <w:link w:val="Footer"/>
    <w:uiPriority w:val="99"/>
    <w:rsid w:val="00194B91"/>
    <w:rPr>
      <w:sz w:val="24"/>
      <w:szCs w:val="24"/>
    </w:rPr>
  </w:style>
  <w:style w:type="character" w:styleId="PageNumber">
    <w:name w:val="page number"/>
    <w:basedOn w:val="DefaultParagraphFont"/>
    <w:uiPriority w:val="99"/>
    <w:semiHidden/>
    <w:unhideWhenUsed/>
    <w:rsid w:val="00194B91"/>
  </w:style>
  <w:style w:type="paragraph" w:styleId="Header">
    <w:name w:val="header"/>
    <w:basedOn w:val="Normal"/>
    <w:link w:val="HeaderChar"/>
    <w:uiPriority w:val="99"/>
    <w:unhideWhenUsed/>
    <w:rsid w:val="00194B91"/>
    <w:pPr>
      <w:tabs>
        <w:tab w:val="center" w:pos="4320"/>
        <w:tab w:val="right" w:pos="8640"/>
      </w:tabs>
    </w:pPr>
  </w:style>
  <w:style w:type="character" w:customStyle="1" w:styleId="HeaderChar">
    <w:name w:val="Header Char"/>
    <w:basedOn w:val="DefaultParagraphFont"/>
    <w:link w:val="Header"/>
    <w:uiPriority w:val="99"/>
    <w:rsid w:val="00194B91"/>
    <w:rPr>
      <w:sz w:val="24"/>
      <w:szCs w:val="24"/>
    </w:rPr>
  </w:style>
  <w:style w:type="paragraph" w:customStyle="1" w:styleId="normal0">
    <w:name w:val="normal"/>
    <w:rsid w:val="00972751"/>
    <w:pPr>
      <w:spacing w:line="276" w:lineRule="auto"/>
    </w:pPr>
    <w:rPr>
      <w:rFonts w:ascii="Arial" w:eastAsia="Arial" w:hAnsi="Arial" w:cs="Arial"/>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line="276" w:lineRule="auto"/>
    </w:pPr>
    <w:rPr>
      <w:rFonts w:ascii="Arial"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Footnote">
    <w:name w:val="Footnote"/>
    <w:rPr>
      <w:rFonts w:ascii="Helvetica" w:eastAsia="Helvetica" w:hAnsi="Helvetica" w:cs="Helvetica"/>
      <w:color w:val="000000"/>
      <w:sz w:val="22"/>
      <w:szCs w:val="22"/>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37B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B5E"/>
    <w:rPr>
      <w:rFonts w:ascii="Lucida Grande" w:hAnsi="Lucida Grande" w:cs="Lucida Grande"/>
      <w:sz w:val="18"/>
      <w:szCs w:val="18"/>
    </w:rPr>
  </w:style>
  <w:style w:type="paragraph" w:styleId="Footer">
    <w:name w:val="footer"/>
    <w:basedOn w:val="Normal"/>
    <w:link w:val="FooterChar"/>
    <w:uiPriority w:val="99"/>
    <w:unhideWhenUsed/>
    <w:rsid w:val="00194B91"/>
    <w:pPr>
      <w:tabs>
        <w:tab w:val="center" w:pos="4320"/>
        <w:tab w:val="right" w:pos="8640"/>
      </w:tabs>
    </w:pPr>
  </w:style>
  <w:style w:type="character" w:customStyle="1" w:styleId="FooterChar">
    <w:name w:val="Footer Char"/>
    <w:basedOn w:val="DefaultParagraphFont"/>
    <w:link w:val="Footer"/>
    <w:uiPriority w:val="99"/>
    <w:rsid w:val="00194B91"/>
    <w:rPr>
      <w:sz w:val="24"/>
      <w:szCs w:val="24"/>
    </w:rPr>
  </w:style>
  <w:style w:type="character" w:styleId="PageNumber">
    <w:name w:val="page number"/>
    <w:basedOn w:val="DefaultParagraphFont"/>
    <w:uiPriority w:val="99"/>
    <w:semiHidden/>
    <w:unhideWhenUsed/>
    <w:rsid w:val="00194B91"/>
  </w:style>
  <w:style w:type="paragraph" w:styleId="Header">
    <w:name w:val="header"/>
    <w:basedOn w:val="Normal"/>
    <w:link w:val="HeaderChar"/>
    <w:uiPriority w:val="99"/>
    <w:unhideWhenUsed/>
    <w:rsid w:val="00194B91"/>
    <w:pPr>
      <w:tabs>
        <w:tab w:val="center" w:pos="4320"/>
        <w:tab w:val="right" w:pos="8640"/>
      </w:tabs>
    </w:pPr>
  </w:style>
  <w:style w:type="character" w:customStyle="1" w:styleId="HeaderChar">
    <w:name w:val="Header Char"/>
    <w:basedOn w:val="DefaultParagraphFont"/>
    <w:link w:val="Header"/>
    <w:uiPriority w:val="99"/>
    <w:rsid w:val="00194B91"/>
    <w:rPr>
      <w:sz w:val="24"/>
      <w:szCs w:val="24"/>
    </w:rPr>
  </w:style>
  <w:style w:type="paragraph" w:customStyle="1" w:styleId="normal0">
    <w:name w:val="normal"/>
    <w:rsid w:val="00972751"/>
    <w:pPr>
      <w:spacing w:line="276" w:lineRule="auto"/>
    </w:pPr>
    <w:rPr>
      <w:rFonts w:ascii="Arial" w:eastAsia="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5581</Characters>
  <Application>Microsoft Macintosh Word</Application>
  <DocSecurity>0</DocSecurity>
  <Lines>46</Lines>
  <Paragraphs>13</Paragraphs>
  <ScaleCrop>false</ScaleCrop>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Vivek</cp:lastModifiedBy>
  <cp:revision>2</cp:revision>
  <dcterms:created xsi:type="dcterms:W3CDTF">2015-10-26T23:26:00Z</dcterms:created>
  <dcterms:modified xsi:type="dcterms:W3CDTF">2015-10-26T23:26:00Z</dcterms:modified>
</cp:coreProperties>
</file>