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75" w:rsidRDefault="006D0775">
      <w:pPr>
        <w:pStyle w:val="Corpo"/>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
          <w:bCs/>
          <w:sz w:val="26"/>
          <w:szCs w:val="26"/>
        </w:rPr>
      </w:pPr>
      <w:r>
        <w:rPr>
          <w:rFonts w:ascii="Times New Roman" w:hAnsi="Times New Roman"/>
          <w:b/>
          <w:bCs/>
          <w:sz w:val="26"/>
          <w:szCs w:val="26"/>
        </w:rPr>
        <w:t xml:space="preserve">IV World Planning Schools Congress </w:t>
      </w:r>
    </w:p>
    <w:p w:rsidR="006D0775" w:rsidRDefault="006D0775">
      <w:pPr>
        <w:pStyle w:val="Corpo"/>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i/>
          <w:iCs/>
          <w:sz w:val="26"/>
          <w:szCs w:val="26"/>
        </w:rPr>
      </w:pPr>
      <w:r>
        <w:rPr>
          <w:rFonts w:ascii="Times New Roman" w:hAnsi="Times New Roman"/>
          <w:i/>
          <w:iCs/>
          <w:sz w:val="26"/>
          <w:szCs w:val="26"/>
        </w:rPr>
        <w:t>global crisis, planning &amp; challenges in the North and in the South</w:t>
      </w:r>
    </w:p>
    <w:p w:rsidR="006D0775" w:rsidRDefault="006D0775">
      <w:pPr>
        <w:pStyle w:val="Corpo"/>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rPr>
      </w:pPr>
      <w:r>
        <w:rPr>
          <w:rFonts w:ascii="Times New Roman" w:hAnsi="Times New Roman"/>
        </w:rPr>
        <w:t>Igor Pessoa</w:t>
      </w:r>
    </w:p>
    <w:p w:rsidR="006D0775" w:rsidRDefault="006D0775">
      <w:pPr>
        <w:pStyle w:val="Corpo"/>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rPr>
      </w:pPr>
      <w:r>
        <w:rPr>
          <w:rFonts w:ascii="Times New Roman" w:hAnsi="Times New Roman"/>
        </w:rPr>
        <w:t>TU Delft - Faculty of Architecture and the Built Environment, OTB - Research for the built Environment - The Netherlands</w:t>
      </w:r>
    </w:p>
    <w:p w:rsidR="006D0775" w:rsidRDefault="006D0775">
      <w:pPr>
        <w:pStyle w:val="Corpo"/>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rPr>
      </w:pPr>
      <w:r>
        <w:rPr>
          <w:rFonts w:ascii="Times New Roman" w:hAnsi="Times New Roman"/>
        </w:rPr>
        <w:t xml:space="preserve">Research Financed by CAPES </w:t>
      </w:r>
    </w:p>
    <w:p w:rsidR="0038366B" w:rsidRDefault="0038366B">
      <w:pPr>
        <w:pStyle w:val="Corpo"/>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b/>
          <w:bCs/>
          <w:sz w:val="24"/>
          <w:szCs w:val="24"/>
        </w:rPr>
      </w:pPr>
    </w:p>
    <w:p w:rsidR="006D0775" w:rsidRDefault="006D0775">
      <w:pPr>
        <w:pStyle w:val="Corpo"/>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b/>
          <w:bCs/>
          <w:sz w:val="24"/>
          <w:szCs w:val="24"/>
        </w:rPr>
      </w:pPr>
      <w:r>
        <w:rPr>
          <w:rFonts w:ascii="Times New Roman" w:hAnsi="Times New Roman"/>
          <w:b/>
          <w:bCs/>
          <w:sz w:val="24"/>
          <w:szCs w:val="24"/>
        </w:rPr>
        <w:t>From the “City of Walls” to the “</w:t>
      </w:r>
      <w:proofErr w:type="spellStart"/>
      <w:r>
        <w:rPr>
          <w:rFonts w:ascii="Times New Roman" w:hAnsi="Times New Roman"/>
          <w:b/>
          <w:bCs/>
          <w:sz w:val="24"/>
          <w:szCs w:val="24"/>
          <w:lang w:val="de-DE"/>
        </w:rPr>
        <w:t>Pilotis</w:t>
      </w:r>
      <w:proofErr w:type="spellEnd"/>
      <w:r>
        <w:rPr>
          <w:rFonts w:ascii="Times New Roman" w:hAnsi="Times New Roman"/>
          <w:b/>
          <w:bCs/>
          <w:sz w:val="24"/>
          <w:szCs w:val="24"/>
          <w:lang w:val="de-DE"/>
        </w:rPr>
        <w:t xml:space="preserve"> </w:t>
      </w:r>
      <w:proofErr w:type="spellStart"/>
      <w:r>
        <w:rPr>
          <w:rFonts w:ascii="Times New Roman" w:hAnsi="Times New Roman"/>
          <w:b/>
          <w:bCs/>
          <w:sz w:val="24"/>
          <w:szCs w:val="24"/>
          <w:lang w:val="de-DE"/>
        </w:rPr>
        <w:t>Brasilienses</w:t>
      </w:r>
      <w:proofErr w:type="spellEnd"/>
      <w:r>
        <w:rPr>
          <w:rFonts w:ascii="Times New Roman" w:hAnsi="Times New Roman"/>
          <w:b/>
          <w:bCs/>
          <w:sz w:val="24"/>
          <w:szCs w:val="24"/>
        </w:rPr>
        <w:t>”: Challenges on the road from spatial disconnection towards social connection in Brazil.</w:t>
      </w:r>
    </w:p>
    <w:p w:rsidR="006D0775" w:rsidRDefault="006D0775">
      <w:pPr>
        <w:pStyle w:val="Corpo"/>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r>
        <w:rPr>
          <w:rFonts w:ascii="Times New Roman" w:hAnsi="Times New Roman"/>
          <w:sz w:val="24"/>
          <w:szCs w:val="24"/>
        </w:rPr>
        <w:t xml:space="preserve">Distinct planning theories have addressed the importance of promoting social connection in the built environment. When Susan </w:t>
      </w:r>
      <w:proofErr w:type="spellStart"/>
      <w:r>
        <w:rPr>
          <w:rFonts w:ascii="Times New Roman" w:hAnsi="Times New Roman"/>
          <w:sz w:val="24"/>
          <w:szCs w:val="24"/>
        </w:rPr>
        <w:t>Fainstein</w:t>
      </w:r>
      <w:proofErr w:type="spellEnd"/>
      <w:r>
        <w:rPr>
          <w:rFonts w:ascii="Times New Roman" w:hAnsi="Times New Roman"/>
          <w:sz w:val="24"/>
          <w:szCs w:val="24"/>
        </w:rPr>
        <w:t xml:space="preserve"> developed the concept of “Just City” </w:t>
      </w:r>
      <w:r w:rsidR="00202753">
        <w:rPr>
          <w:rFonts w:ascii="Times New Roman" w:hAnsi="Times New Roman"/>
          <w:sz w:val="24"/>
          <w:szCs w:val="24"/>
        </w:rPr>
        <w:fldChar w:fldCharType="begin"/>
      </w:r>
      <w:r w:rsidR="0038366B">
        <w:rPr>
          <w:rFonts w:ascii="Times New Roman" w:hAnsi="Times New Roman"/>
          <w:sz w:val="24"/>
          <w:szCs w:val="24"/>
        </w:rPr>
        <w:instrText xml:space="preserve"> ADDIN EN.CITE &lt;EndNote&gt;&lt;Cite ExcludeAuth="1"&gt;&lt;Author&gt;Fainstein&lt;/Author&gt;&lt;Year&gt;2010&lt;/Year&gt;&lt;RecNum&gt;81&lt;/RecNum&gt;&lt;DisplayText&gt;(2010)&lt;/DisplayText&gt;&lt;record&gt;&lt;rec-number&gt;81&lt;/rec-number&gt;&lt;foreign-keys&gt;&lt;key app="EN" db-id="9pe52as9u9a2etepf29pav9uwarprzfa2xea" timestamp="1445247640"&gt;81&lt;/key&gt;&lt;/foreign-keys&gt;&lt;ref-type name="Book"&gt;6&lt;/ref-type&gt;&lt;contributors&gt;&lt;authors&gt;&lt;author&gt;Fainstein, Susan S.&lt;/author&gt;&lt;/authors&gt;&lt;/contributors&gt;&lt;titles&gt;&lt;title&gt;The just city&lt;/title&gt;&lt;/titles&gt;&lt;pages&gt;xi, 212 p.&lt;/pages&gt;&lt;keywords&gt;&lt;keyword&gt;City planning Moral and ethical aspects.&lt;/keyword&gt;&lt;keyword&gt;Urban policy Moral and ethical aspects.&lt;/keyword&gt;&lt;keyword&gt;Municipal government Moral and ethical aspects.&lt;/keyword&gt;&lt;keyword&gt;Social justice.&lt;/keyword&gt;&lt;/keywords&gt;&lt;dates&gt;&lt;year&gt;2010&lt;/year&gt;&lt;/dates&gt;&lt;pub-location&gt;Ithaca&lt;/pub-location&gt;&lt;publisher&gt;Cornell University Press&lt;/publisher&gt;&lt;isbn&gt;9780801446559 (cloth alk. paper)&amp;#xD;0801446554 (cloth alk. paper)&lt;/isbn&gt;&lt;accession-num&gt;16080045&lt;/accession-num&gt;&lt;urls&gt;&lt;/urls&gt;&lt;/record&gt;&lt;/Cite&gt;&lt;/EndNote&gt;</w:instrText>
      </w:r>
      <w:r w:rsidR="00202753">
        <w:rPr>
          <w:rFonts w:ascii="Times New Roman" w:hAnsi="Times New Roman"/>
          <w:sz w:val="24"/>
          <w:szCs w:val="24"/>
        </w:rPr>
        <w:fldChar w:fldCharType="separate"/>
      </w:r>
      <w:r w:rsidR="0038366B">
        <w:rPr>
          <w:rFonts w:ascii="Times New Roman" w:hAnsi="Times New Roman"/>
          <w:noProof/>
          <w:sz w:val="24"/>
          <w:szCs w:val="24"/>
        </w:rPr>
        <w:t>(2010)</w:t>
      </w:r>
      <w:r w:rsidR="00202753">
        <w:rPr>
          <w:rFonts w:ascii="Times New Roman" w:hAnsi="Times New Roman"/>
          <w:sz w:val="24"/>
          <w:szCs w:val="24"/>
        </w:rPr>
        <w:fldChar w:fldCharType="end"/>
      </w:r>
      <w:r>
        <w:rPr>
          <w:rFonts w:ascii="Times New Roman" w:hAnsi="Times New Roman"/>
          <w:sz w:val="24"/>
          <w:szCs w:val="24"/>
        </w:rPr>
        <w:t xml:space="preserve"> she used social connection as </w:t>
      </w:r>
      <w:r w:rsidR="00EC08A7">
        <w:rPr>
          <w:rFonts w:ascii="Times New Roman" w:hAnsi="Times New Roman"/>
          <w:sz w:val="24"/>
          <w:szCs w:val="24"/>
        </w:rPr>
        <w:t xml:space="preserve">a </w:t>
      </w:r>
      <w:r>
        <w:rPr>
          <w:rFonts w:ascii="Times New Roman" w:hAnsi="Times New Roman"/>
          <w:sz w:val="24"/>
          <w:szCs w:val="24"/>
        </w:rPr>
        <w:t xml:space="preserve">fundamental aspect towards the just city defined by diversity, equity and democracy. Fincher and </w:t>
      </w:r>
      <w:proofErr w:type="spellStart"/>
      <w:r>
        <w:rPr>
          <w:rFonts w:ascii="Times New Roman" w:hAnsi="Times New Roman"/>
          <w:sz w:val="24"/>
          <w:szCs w:val="24"/>
        </w:rPr>
        <w:t>Iveson</w:t>
      </w:r>
      <w:proofErr w:type="spellEnd"/>
      <w:r>
        <w:rPr>
          <w:rFonts w:ascii="Times New Roman" w:hAnsi="Times New Roman"/>
          <w:sz w:val="24"/>
          <w:szCs w:val="24"/>
        </w:rPr>
        <w:t xml:space="preserve"> </w:t>
      </w:r>
      <w:r w:rsidR="00202753">
        <w:rPr>
          <w:rFonts w:ascii="Times New Roman" w:hAnsi="Times New Roman"/>
          <w:sz w:val="24"/>
          <w:szCs w:val="24"/>
        </w:rPr>
        <w:fldChar w:fldCharType="begin"/>
      </w:r>
      <w:r w:rsidR="00202753">
        <w:rPr>
          <w:rFonts w:ascii="Times New Roman" w:hAnsi="Times New Roman"/>
          <w:sz w:val="24"/>
          <w:szCs w:val="24"/>
        </w:rPr>
        <w:instrText xml:space="preserve"> ADDIN EN.CITE &lt;EndNote&gt;&lt;Cite ExcludeAuth="1"&gt;&lt;Author&gt;Fincher&lt;/Author&gt;&lt;Year&gt;2008&lt;/Year&gt;&lt;RecNum&gt;52&lt;/RecNum&gt;&lt;DisplayText&gt;(2008)&lt;/DisplayText&gt;&lt;record&gt;&lt;rec-number&gt;52&lt;/rec-number&gt;&lt;foreign-keys&gt;&lt;key app="EN" db-id="9pe52as9u9a2etepf29pav9uwarprzfa2xea" timestamp="1434110416"&gt;52&lt;/key&gt;&lt;/foreign-keys&gt;&lt;ref-type name="Book"&gt;6&lt;/ref-type&gt;&lt;contributors&gt;&lt;authors&gt;&lt;author&gt;Ruth Fincher&lt;/author&gt;&lt;author&gt;Kurt Iveson&lt;/author&gt;&lt;/authors&gt;&lt;/contributors&gt;&lt;titles&gt;&lt;title&gt;Planning and Diversity in the City: redistribution, recognition and encounter&lt;/title&gt;&lt;/titles&gt;&lt;dates&gt;&lt;year&gt;2008&lt;/year&gt;&lt;/dates&gt;&lt;pub-location&gt;New York&lt;/pub-location&gt;&lt;publisher&gt;Palgrave Macmillan&lt;/publisher&gt;&lt;isbn&gt;978-1-4039-3810-5&lt;/isbn&gt;&lt;urls&gt;&lt;/urls&gt;&lt;/record&gt;&lt;/Cite&gt;&lt;/EndNote&gt;</w:instrText>
      </w:r>
      <w:r w:rsidR="00202753">
        <w:rPr>
          <w:rFonts w:ascii="Times New Roman" w:hAnsi="Times New Roman"/>
          <w:sz w:val="24"/>
          <w:szCs w:val="24"/>
        </w:rPr>
        <w:fldChar w:fldCharType="separate"/>
      </w:r>
      <w:r w:rsidR="00202753">
        <w:rPr>
          <w:rFonts w:ascii="Times New Roman" w:hAnsi="Times New Roman"/>
          <w:noProof/>
          <w:sz w:val="24"/>
          <w:szCs w:val="24"/>
        </w:rPr>
        <w:t>(2008)</w:t>
      </w:r>
      <w:r w:rsidR="00202753">
        <w:rPr>
          <w:rFonts w:ascii="Times New Roman" w:hAnsi="Times New Roman"/>
          <w:sz w:val="24"/>
          <w:szCs w:val="24"/>
        </w:rPr>
        <w:fldChar w:fldCharType="end"/>
      </w:r>
      <w:r>
        <w:rPr>
          <w:rFonts w:ascii="Times New Roman" w:hAnsi="Times New Roman"/>
          <w:sz w:val="24"/>
          <w:szCs w:val="24"/>
        </w:rPr>
        <w:t xml:space="preserve">, additionally, explore social connection as a tool to “plan with diversity” as one of the “three social logics of urban planning”, i.e., redistribution, encounter and recognition. There is no doubt that social connection is a powerful tool and that it can tackle complex issues like urban diversity and spatial justice. However, the </w:t>
      </w:r>
      <w:r w:rsidR="00EC08A7">
        <w:rPr>
          <w:rFonts w:ascii="Times New Roman" w:hAnsi="Times New Roman"/>
          <w:sz w:val="24"/>
          <w:szCs w:val="24"/>
        </w:rPr>
        <w:t>Brazilian</w:t>
      </w:r>
      <w:r>
        <w:rPr>
          <w:rFonts w:ascii="Times New Roman" w:hAnsi="Times New Roman"/>
          <w:sz w:val="24"/>
          <w:szCs w:val="24"/>
        </w:rPr>
        <w:t xml:space="preserve"> context shows that there are still many uncertainties about how spatial connection can be used to promote social connection.</w:t>
      </w:r>
    </w:p>
    <w:p w:rsidR="006D0775" w:rsidRPr="00941925" w:rsidRDefault="006D0775">
      <w:pPr>
        <w:pStyle w:val="Corpo"/>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sz w:val="24"/>
          <w:szCs w:val="24"/>
        </w:rPr>
      </w:pPr>
      <w:r>
        <w:rPr>
          <w:rFonts w:ascii="Times New Roman" w:hAnsi="Times New Roman"/>
          <w:sz w:val="24"/>
          <w:szCs w:val="24"/>
        </w:rPr>
        <w:t>Several authors have shown that social connections became more complex and ephemeral in modern society</w:t>
      </w:r>
      <w:r w:rsidR="00EC08A7">
        <w:rPr>
          <w:rFonts w:ascii="Times New Roman" w:hAnsi="Times New Roman"/>
          <w:sz w:val="24"/>
          <w:szCs w:val="24"/>
        </w:rPr>
        <w:t>,</w:t>
      </w:r>
      <w:r>
        <w:rPr>
          <w:rFonts w:ascii="Times New Roman" w:hAnsi="Times New Roman"/>
          <w:sz w:val="24"/>
          <w:szCs w:val="24"/>
        </w:rPr>
        <w:t xml:space="preserve"> such as Castells, with the concept of “network society” </w:t>
      </w:r>
      <w:r w:rsidR="00202753">
        <w:rPr>
          <w:rFonts w:ascii="Times New Roman" w:hAnsi="Times New Roman"/>
          <w:sz w:val="24"/>
          <w:szCs w:val="24"/>
        </w:rPr>
        <w:fldChar w:fldCharType="begin"/>
      </w:r>
      <w:r w:rsidR="0038366B">
        <w:rPr>
          <w:rFonts w:ascii="Times New Roman" w:hAnsi="Times New Roman"/>
          <w:sz w:val="24"/>
          <w:szCs w:val="24"/>
        </w:rPr>
        <w:instrText xml:space="preserve"> ADDIN EN.CITE &lt;EndNote&gt;&lt;Cite ExcludeAuth="1"&gt;&lt;Author&gt;Castells&lt;/Author&gt;&lt;Year&gt;2010&lt;/Year&gt;&lt;RecNum&gt;86&lt;/RecNum&gt;&lt;DisplayText&gt;(2010)&lt;/DisplayText&gt;&lt;record&gt;&lt;rec-number&gt;86&lt;/rec-number&gt;&lt;foreign-keys&gt;&lt;key app="EN" db-id="9pe52as9u9a2etepf29pav9uwarprzfa2xea" timestamp="1445247783"&gt;86&lt;/key&gt;&lt;/foreign-keys&gt;&lt;ref-type name="Book"&gt;6&lt;/ref-type&gt;&lt;contributors&gt;&lt;authors&gt;&lt;author&gt;Castells, Manuel&lt;/author&gt;&lt;/authors&gt;&lt;/contributors&gt;&lt;titles&gt;&lt;title&gt;The rise of the network society&lt;/title&gt;&lt;secondary-title&gt;The information age : economy, society, and culture&lt;/secondary-title&gt;&lt;/titles&gt;&lt;pages&gt;lvii, 597 p.&lt;/pages&gt;&lt;number&gt;1&lt;/number&gt;&lt;edition&gt;2nd&lt;/edition&gt;&lt;keywords&gt;&lt;keyword&gt;Information technology Economic aspects.&lt;/keyword&gt;&lt;keyword&gt;Information society.&lt;/keyword&gt;&lt;keyword&gt;Information networks.&lt;/keyword&gt;&lt;keyword&gt;Technology and civilization.&lt;/keyword&gt;&lt;/keywords&gt;&lt;dates&gt;&lt;year&gt;2010&lt;/year&gt;&lt;/dates&gt;&lt;pub-location&gt;Chichester, West Sussex ; Malden, MA&lt;/pub-location&gt;&lt;publisher&gt;Wiley-Blackwell&lt;/publisher&gt;&lt;isbn&gt;9781405196864 (pbk. alk. paper)&amp;#xD;1405196866 (pbk. alk. paper)&lt;/isbn&gt;&lt;accession-num&gt;15670581&lt;/accession-num&gt;&lt;urls&gt;&lt;related-urls&gt;&lt;url&gt;http://bvbm2.bib-bvb.de:8993/F?func=service&amp;amp;doc_library=BVB01&amp;amp;doc_number=017993589&amp;amp;line_number=0001&amp;amp;func_code=DB_RECORDS&amp;amp;service_type=MEDIA Inhaltsverzeichnis&lt;/url&gt;&lt;/related-urls&gt;&lt;/urls&gt;&lt;/record&gt;&lt;/Cite&gt;&lt;/EndNote&gt;</w:instrText>
      </w:r>
      <w:r w:rsidR="00202753">
        <w:rPr>
          <w:rFonts w:ascii="Times New Roman" w:hAnsi="Times New Roman"/>
          <w:sz w:val="24"/>
          <w:szCs w:val="24"/>
        </w:rPr>
        <w:fldChar w:fldCharType="separate"/>
      </w:r>
      <w:r w:rsidR="0038366B">
        <w:rPr>
          <w:rFonts w:ascii="Times New Roman" w:hAnsi="Times New Roman"/>
          <w:noProof/>
          <w:sz w:val="24"/>
          <w:szCs w:val="24"/>
        </w:rPr>
        <w:t>(2010)</w:t>
      </w:r>
      <w:r w:rsidR="00202753">
        <w:rPr>
          <w:rFonts w:ascii="Times New Roman" w:hAnsi="Times New Roman"/>
          <w:sz w:val="24"/>
          <w:szCs w:val="24"/>
        </w:rPr>
        <w:fldChar w:fldCharType="end"/>
      </w:r>
      <w:r>
        <w:rPr>
          <w:rFonts w:ascii="Times New Roman" w:hAnsi="Times New Roman"/>
          <w:sz w:val="24"/>
          <w:szCs w:val="24"/>
        </w:rPr>
        <w:t xml:space="preserve">, or Bauman, with the concept of “liquid modernity” </w:t>
      </w:r>
      <w:r w:rsidR="00202753">
        <w:rPr>
          <w:rFonts w:ascii="Times New Roman" w:hAnsi="Times New Roman"/>
          <w:sz w:val="24"/>
          <w:szCs w:val="24"/>
        </w:rPr>
        <w:fldChar w:fldCharType="begin"/>
      </w:r>
      <w:r w:rsidR="0038366B">
        <w:rPr>
          <w:rFonts w:ascii="Times New Roman" w:hAnsi="Times New Roman"/>
          <w:sz w:val="24"/>
          <w:szCs w:val="24"/>
        </w:rPr>
        <w:instrText xml:space="preserve"> ADDIN EN.CITE &lt;EndNote&gt;&lt;Cite ExcludeAuth="1"&gt;&lt;Author&gt;Bauman&lt;/Author&gt;&lt;Year&gt;2000&lt;/Year&gt;&lt;RecNum&gt;91&lt;/RecNum&gt;&lt;DisplayText&gt;(2000)&lt;/DisplayText&gt;&lt;record&gt;&lt;rec-number&gt;91&lt;/rec-number&gt;&lt;foreign-keys&gt;&lt;key app="EN" db-id="9pe52as9u9a2etepf29pav9uwarprzfa2xea" timestamp="1445247850"&gt;91&lt;/key&gt;&lt;/foreign-keys&gt;&lt;ref-type name="Book"&gt;6&lt;/ref-type&gt;&lt;contributors&gt;&lt;authors&gt;&lt;author&gt;Bauman, Zygmunt&lt;/author&gt;&lt;/authors&gt;&lt;/contributors&gt;&lt;titles&gt;&lt;title&gt;Liquid modernity&lt;/title&gt;&lt;/titles&gt;&lt;pages&gt;vi, 228 p.&lt;/pages&gt;&lt;keywords&gt;&lt;keyword&gt;Social history 1970-&lt;/keyword&gt;&lt;keyword&gt;Postmodernism Social aspects.&lt;/keyword&gt;&lt;keyword&gt;Liberty.&lt;/keyword&gt;&lt;keyword&gt;Individualism.&lt;/keyword&gt;&lt;keyword&gt;Space and time.&lt;/keyword&gt;&lt;keyword&gt;Work.&lt;/keyword&gt;&lt;keyword&gt;Communities.&lt;/keyword&gt;&lt;keyword&gt;Civilisation 20e siècle.&lt;/keyword&gt;&lt;keyword&gt;Postmodernisme Aspect social.&lt;/keyword&gt;&lt;keyword&gt;Liberté.&lt;/keyword&gt;&lt;keyword&gt;Individu et société.&lt;/keyword&gt;&lt;keyword&gt;Espace et temps.&lt;/keyword&gt;&lt;keyword&gt;Travail.&lt;/keyword&gt;&lt;keyword&gt;Communauté.&lt;/keyword&gt;&lt;/keywords&gt;&lt;dates&gt;&lt;year&gt;2000&lt;/year&gt;&lt;/dates&gt;&lt;pub-location&gt;Cambridge, UK&lt;/pub-location&gt;&lt;publisher&gt;Blackwell&lt;/publisher&gt;&lt;isbn&gt;074562409X (hardcover alk. paper)&amp;#xD;0745624103 (pbk.)&lt;/isbn&gt;&lt;accession-num&gt;13574638&lt;/accession-num&gt;&lt;urls&gt;&lt;related-urls&gt;&lt;url&gt;Table of contents http://www.loc.gov/catdir/toc/fy045/2004381790.html&lt;/url&gt;&lt;/related-urls&gt;&lt;/urls&gt;&lt;/record&gt;&lt;/Cite&gt;&lt;/EndNote&gt;</w:instrText>
      </w:r>
      <w:r w:rsidR="00202753">
        <w:rPr>
          <w:rFonts w:ascii="Times New Roman" w:hAnsi="Times New Roman"/>
          <w:sz w:val="24"/>
          <w:szCs w:val="24"/>
        </w:rPr>
        <w:fldChar w:fldCharType="separate"/>
      </w:r>
      <w:r w:rsidR="0038366B">
        <w:rPr>
          <w:rFonts w:ascii="Times New Roman" w:hAnsi="Times New Roman"/>
          <w:noProof/>
          <w:sz w:val="24"/>
          <w:szCs w:val="24"/>
        </w:rPr>
        <w:t>(2000)</w:t>
      </w:r>
      <w:r w:rsidR="00202753">
        <w:rPr>
          <w:rFonts w:ascii="Times New Roman" w:hAnsi="Times New Roman"/>
          <w:sz w:val="24"/>
          <w:szCs w:val="24"/>
        </w:rPr>
        <w:fldChar w:fldCharType="end"/>
      </w:r>
      <w:r>
        <w:rPr>
          <w:rFonts w:ascii="Times New Roman" w:hAnsi="Times New Roman"/>
          <w:sz w:val="24"/>
          <w:szCs w:val="24"/>
        </w:rPr>
        <w:t>. Although the virtual world plans an important role in the creation of social connection in the present context of the ‘Post-Industrial Society’</w:t>
      </w:r>
      <w:r w:rsidR="00CF6DF0">
        <w:rPr>
          <w:rFonts w:ascii="Times New Roman" w:hAnsi="Times New Roman"/>
          <w:sz w:val="24"/>
          <w:szCs w:val="24"/>
        </w:rPr>
        <w:t xml:space="preserve"> </w:t>
      </w:r>
      <w:r w:rsidR="00202753">
        <w:rPr>
          <w:rFonts w:ascii="Times New Roman" w:hAnsi="Times New Roman"/>
          <w:sz w:val="24"/>
          <w:szCs w:val="24"/>
        </w:rPr>
        <w:fldChar w:fldCharType="begin"/>
      </w:r>
      <w:r w:rsidR="00202753">
        <w:rPr>
          <w:rFonts w:ascii="Times New Roman" w:hAnsi="Times New Roman"/>
          <w:sz w:val="24"/>
          <w:szCs w:val="24"/>
        </w:rPr>
        <w:instrText xml:space="preserve"> ADDIN EN.CITE &lt;EndNote&gt;&lt;Cite&gt;&lt;Author&gt;Bell&lt;/Author&gt;&lt;Year&gt;1973&lt;/Year&gt;&lt;RecNum&gt;144&lt;/RecNum&gt;&lt;DisplayText&gt;(Bell, 1973)&lt;/DisplayText&gt;&lt;record&gt;&lt;rec-number&gt;144&lt;/rec-number&gt;&lt;foreign-keys&gt;&lt;key app="EN" db-id="9pe52as9u9a2etepf29pav9uwarprzfa2xea" timestamp="1445248057"&gt;144&lt;/key&gt;&lt;/foreign-keys&gt;&lt;ref-type name="Book"&gt;6&lt;/ref-type&gt;&lt;contributors&gt;&lt;authors&gt;&lt;author&gt;Bell, Daniel&lt;/author&gt;&lt;/authors&gt;&lt;/contributors&gt;&lt;titles&gt;&lt;title&gt;The coming of post-industrial society; a venture in social forecasting&lt;/title&gt;&lt;/titles&gt;&lt;pages&gt;xiii, 507 p.&lt;/pages&gt;&lt;keywords&gt;&lt;keyword&gt;Social history 20th century.&lt;/keyword&gt;&lt;keyword&gt;Social prediction.&lt;/keyword&gt;&lt;keyword&gt;United States Social conditions 1945-&lt;/keyword&gt;&lt;/keywords&gt;&lt;dates&gt;&lt;year&gt;1973&lt;/year&gt;&lt;/dates&gt;&lt;pub-location&gt;New York,&lt;/pub-location&gt;&lt;publisher&gt;Basic Books&lt;/publisher&gt;&lt;isbn&gt;0465012817&lt;/isbn&gt;&lt;accession-num&gt;299996&lt;/accession-num&gt;&lt;urls&gt;&lt;/urls&gt;&lt;/record&gt;&lt;/Cite&gt;&lt;/EndNote&gt;</w:instrText>
      </w:r>
      <w:r w:rsidR="00202753">
        <w:rPr>
          <w:rFonts w:ascii="Times New Roman" w:hAnsi="Times New Roman"/>
          <w:sz w:val="24"/>
          <w:szCs w:val="24"/>
        </w:rPr>
        <w:fldChar w:fldCharType="separate"/>
      </w:r>
      <w:r w:rsidR="00202753">
        <w:rPr>
          <w:rFonts w:ascii="Times New Roman" w:hAnsi="Times New Roman"/>
          <w:noProof/>
          <w:sz w:val="24"/>
          <w:szCs w:val="24"/>
        </w:rPr>
        <w:t>(Bell, 1973)</w:t>
      </w:r>
      <w:r w:rsidR="00202753">
        <w:rPr>
          <w:rFonts w:ascii="Times New Roman" w:hAnsi="Times New Roman"/>
          <w:sz w:val="24"/>
          <w:szCs w:val="24"/>
        </w:rPr>
        <w:fldChar w:fldCharType="end"/>
      </w:r>
      <w:r w:rsidR="00110923">
        <w:rPr>
          <w:rFonts w:ascii="Times New Roman" w:hAnsi="Times New Roman"/>
          <w:sz w:val="24"/>
          <w:szCs w:val="24"/>
        </w:rPr>
        <w:t>,</w:t>
      </w:r>
      <w:r>
        <w:rPr>
          <w:rFonts w:ascii="Times New Roman" w:hAnsi="Times New Roman"/>
          <w:sz w:val="24"/>
          <w:szCs w:val="24"/>
        </w:rPr>
        <w:t xml:space="preserve"> physical space still </w:t>
      </w:r>
      <w:r w:rsidR="00110923">
        <w:rPr>
          <w:rFonts w:ascii="Times New Roman" w:hAnsi="Times New Roman"/>
          <w:sz w:val="24"/>
          <w:szCs w:val="24"/>
        </w:rPr>
        <w:t>has a part i</w:t>
      </w:r>
      <w:r>
        <w:rPr>
          <w:rFonts w:ascii="Times New Roman" w:hAnsi="Times New Roman"/>
          <w:sz w:val="24"/>
          <w:szCs w:val="24"/>
        </w:rPr>
        <w:t>n the creation of social connections. A banker living in a gated community in the suburban area of São Paulo has more social contacts with a banker in London than with a construction worker living in poor housing at the other side of the street. Thus, urban intervention aiming to promote social contact can be extremely challenging, especially in such complex and uneven urban contexts.</w:t>
      </w:r>
    </w:p>
    <w:p w:rsidR="006D0775" w:rsidRDefault="006D0775">
      <w:pPr>
        <w:pStyle w:val="Corpo"/>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r>
        <w:rPr>
          <w:rFonts w:ascii="Times New Roman" w:hAnsi="Times New Roman"/>
          <w:sz w:val="24"/>
          <w:szCs w:val="24"/>
        </w:rPr>
        <w:t xml:space="preserve">This paper aims to </w:t>
      </w:r>
      <w:r w:rsidR="00110923">
        <w:rPr>
          <w:rFonts w:ascii="Times New Roman" w:hAnsi="Times New Roman"/>
          <w:sz w:val="24"/>
          <w:szCs w:val="24"/>
        </w:rPr>
        <w:t>establish</w:t>
      </w:r>
      <w:r>
        <w:rPr>
          <w:rFonts w:ascii="Times New Roman" w:hAnsi="Times New Roman"/>
          <w:sz w:val="24"/>
          <w:szCs w:val="24"/>
        </w:rPr>
        <w:t xml:space="preserve"> in what ways the frameworks of the Just City </w:t>
      </w:r>
      <w:r w:rsidR="00202753">
        <w:rPr>
          <w:rFonts w:ascii="Times New Roman" w:hAnsi="Times New Roman"/>
          <w:sz w:val="24"/>
          <w:szCs w:val="24"/>
        </w:rPr>
        <w:fldChar w:fldCharType="begin"/>
      </w:r>
      <w:r w:rsidR="00202753">
        <w:rPr>
          <w:rFonts w:ascii="Times New Roman" w:hAnsi="Times New Roman"/>
          <w:sz w:val="24"/>
          <w:szCs w:val="24"/>
        </w:rPr>
        <w:instrText xml:space="preserve"> ADDIN EN.CITE &lt;EndNote&gt;&lt;Cite&gt;&lt;Author&gt;Fainstein&lt;/Author&gt;&lt;Year&gt;2010&lt;/Year&gt;&lt;RecNum&gt;81&lt;/RecNum&gt;&lt;DisplayText&gt;(Fainstein, 2010)&lt;/DisplayText&gt;&lt;record&gt;&lt;rec-number&gt;81&lt;/rec-number&gt;&lt;foreign-keys&gt;&lt;key app="EN" db-id="9pe52as9u9a2etepf29pav9uwarprzfa2xea" timestamp="1445247640"&gt;81&lt;/key&gt;&lt;/foreign-keys&gt;&lt;ref-type name="Book"&gt;6&lt;/ref-type&gt;&lt;contributors&gt;&lt;authors&gt;&lt;author&gt;Fainstein, Susan S.&lt;/author&gt;&lt;/authors&gt;&lt;/contributors&gt;&lt;titles&gt;&lt;title&gt;The just city&lt;/title&gt;&lt;/titles&gt;&lt;pages&gt;xi, 212 p.&lt;/pages&gt;&lt;keywords&gt;&lt;keyword&gt;City planning Moral and ethical aspects.&lt;/keyword&gt;&lt;keyword&gt;Urban policy Moral and ethical aspects.&lt;/keyword&gt;&lt;keyword&gt;Municipal government Moral and ethical aspects.&lt;/keyword&gt;&lt;keyword&gt;Social justice.&lt;/keyword&gt;&lt;/keywords&gt;&lt;dates&gt;&lt;year&gt;2010&lt;/year&gt;&lt;/dates&gt;&lt;pub-location&gt;Ithaca&lt;/pub-location&gt;&lt;publisher&gt;Cornell University Press&lt;/publisher&gt;&lt;isbn&gt;9780801446559 (cloth alk. paper)&amp;#xD;0801446554 (cloth alk. paper)&lt;/isbn&gt;&lt;accession-num&gt;16080045&lt;/accession-num&gt;&lt;urls&gt;&lt;/urls&gt;&lt;/record&gt;&lt;/Cite&gt;&lt;/EndNote&gt;</w:instrText>
      </w:r>
      <w:r w:rsidR="00202753">
        <w:rPr>
          <w:rFonts w:ascii="Times New Roman" w:hAnsi="Times New Roman"/>
          <w:sz w:val="24"/>
          <w:szCs w:val="24"/>
        </w:rPr>
        <w:fldChar w:fldCharType="separate"/>
      </w:r>
      <w:r w:rsidR="00202753">
        <w:rPr>
          <w:rFonts w:ascii="Times New Roman" w:hAnsi="Times New Roman"/>
          <w:noProof/>
          <w:sz w:val="24"/>
          <w:szCs w:val="24"/>
        </w:rPr>
        <w:t>(Fainstein, 2010)</w:t>
      </w:r>
      <w:r w:rsidR="00202753">
        <w:rPr>
          <w:rFonts w:ascii="Times New Roman" w:hAnsi="Times New Roman"/>
          <w:sz w:val="24"/>
          <w:szCs w:val="24"/>
        </w:rPr>
        <w:fldChar w:fldCharType="end"/>
      </w:r>
      <w:r>
        <w:rPr>
          <w:rFonts w:ascii="Times New Roman" w:hAnsi="Times New Roman"/>
          <w:sz w:val="24"/>
          <w:szCs w:val="24"/>
        </w:rPr>
        <w:t xml:space="preserve"> and Planning with Diversity </w:t>
      </w:r>
      <w:r w:rsidR="00202753">
        <w:rPr>
          <w:rFonts w:ascii="Times New Roman" w:hAnsi="Times New Roman"/>
          <w:sz w:val="24"/>
          <w:szCs w:val="24"/>
        </w:rPr>
        <w:fldChar w:fldCharType="begin"/>
      </w:r>
      <w:r w:rsidR="0038366B">
        <w:rPr>
          <w:rFonts w:ascii="Times New Roman" w:hAnsi="Times New Roman"/>
          <w:sz w:val="24"/>
          <w:szCs w:val="24"/>
        </w:rPr>
        <w:instrText xml:space="preserve"> ADDIN EN.CITE &lt;EndNote&gt;&lt;Cite&gt;&lt;Author&gt;Fincher&lt;/Author&gt;&lt;Year&gt;2008&lt;/Year&gt;&lt;RecNum&gt;52&lt;/RecNum&gt;&lt;DisplayText&gt;(Fincher &amp;amp; Iveson, 2008)&lt;/DisplayText&gt;&lt;record&gt;&lt;rec-number&gt;52&lt;/rec-number&gt;&lt;foreign-keys&gt;&lt;key app="EN" db-id="9pe52as9u9a2etepf29pav9uwarprzfa2xea" timestamp="1434110416"&gt;52&lt;/key&gt;&lt;/foreign-keys&gt;&lt;ref-type name="Book"&gt;6&lt;/ref-type&gt;&lt;contributors&gt;&lt;authors&gt;&lt;author&gt;Ruth Fincher&lt;/author&gt;&lt;author&gt;Kurt Iveson&lt;/author&gt;&lt;/authors&gt;&lt;/contributors&gt;&lt;titles&gt;&lt;title&gt;Planning and Diversity in the City: redistribution, recognition and encounter&lt;/title&gt;&lt;/titles&gt;&lt;dates&gt;&lt;year&gt;2008&lt;/year&gt;&lt;/dates&gt;&lt;pub-location&gt;New York&lt;/pub-location&gt;&lt;publisher&gt;Palgrave Macmillan&lt;/publisher&gt;&lt;isbn&gt;978-1-4039-3810-5&lt;/isbn&gt;&lt;urls&gt;&lt;/urls&gt;&lt;/record&gt;&lt;/Cite&gt;&lt;/EndNote&gt;</w:instrText>
      </w:r>
      <w:r w:rsidR="00202753">
        <w:rPr>
          <w:rFonts w:ascii="Times New Roman" w:hAnsi="Times New Roman"/>
          <w:sz w:val="24"/>
          <w:szCs w:val="24"/>
        </w:rPr>
        <w:fldChar w:fldCharType="separate"/>
      </w:r>
      <w:r w:rsidR="0038366B">
        <w:rPr>
          <w:rFonts w:ascii="Times New Roman" w:hAnsi="Times New Roman"/>
          <w:noProof/>
          <w:sz w:val="24"/>
          <w:szCs w:val="24"/>
        </w:rPr>
        <w:t>(Fincher &amp; Iveson, 2008)</w:t>
      </w:r>
      <w:r w:rsidR="00202753">
        <w:rPr>
          <w:rFonts w:ascii="Times New Roman" w:hAnsi="Times New Roman"/>
          <w:sz w:val="24"/>
          <w:szCs w:val="24"/>
        </w:rPr>
        <w:fldChar w:fldCharType="end"/>
      </w:r>
      <w:r>
        <w:rPr>
          <w:rFonts w:ascii="Times New Roman" w:hAnsi="Times New Roman"/>
          <w:sz w:val="24"/>
          <w:szCs w:val="24"/>
        </w:rPr>
        <w:t xml:space="preserve"> can be applied to the metropolitan areas of developing countries. </w:t>
      </w:r>
      <w:proofErr w:type="spellStart"/>
      <w:r>
        <w:rPr>
          <w:rFonts w:ascii="Times New Roman" w:hAnsi="Times New Roman"/>
          <w:sz w:val="24"/>
          <w:szCs w:val="24"/>
        </w:rPr>
        <w:t>Fainstein</w:t>
      </w:r>
      <w:proofErr w:type="spellEnd"/>
      <w:r>
        <w:rPr>
          <w:rFonts w:ascii="Times New Roman" w:hAnsi="Times New Roman"/>
          <w:sz w:val="24"/>
          <w:szCs w:val="24"/>
        </w:rPr>
        <w:t xml:space="preserve"> argues that </w:t>
      </w:r>
      <w:r w:rsidR="003E6701">
        <w:rPr>
          <w:rFonts w:ascii="Times New Roman" w:hAnsi="Times New Roman"/>
          <w:sz w:val="24"/>
          <w:szCs w:val="24"/>
        </w:rPr>
        <w:t xml:space="preserve">the </w:t>
      </w:r>
      <w:r>
        <w:rPr>
          <w:rFonts w:ascii="Times New Roman" w:hAnsi="Times New Roman"/>
          <w:sz w:val="24"/>
          <w:szCs w:val="24"/>
        </w:rPr>
        <w:t xml:space="preserve">Just City approach could be implemented in developing countries, if certain pre-conditions like democracy and a relative material equity or a culture of commitment to equity are met </w:t>
      </w:r>
      <w:r w:rsidR="00202753">
        <w:rPr>
          <w:rFonts w:ascii="Times New Roman" w:hAnsi="Times New Roman"/>
          <w:sz w:val="24"/>
          <w:szCs w:val="24"/>
        </w:rPr>
        <w:fldChar w:fldCharType="begin"/>
      </w:r>
      <w:r w:rsidR="00202753">
        <w:rPr>
          <w:rFonts w:ascii="Times New Roman" w:hAnsi="Times New Roman"/>
          <w:sz w:val="24"/>
          <w:szCs w:val="24"/>
        </w:rPr>
        <w:instrText xml:space="preserve"> ADDIN EN.CITE &lt;EndNote&gt;&lt;Cite&gt;&lt;Author&gt;Fainstein&lt;/Author&gt;&lt;Year&gt;2000&lt;/Year&gt;&lt;RecNum&gt;145&lt;/RecNum&gt;&lt;Suffix&gt;: 471&lt;/Suffix&gt;&lt;DisplayText&gt;(Fainstein, 2000: 471)&lt;/DisplayText&gt;&lt;record&gt;&lt;rec-number&gt;145&lt;/rec-number&gt;&lt;foreign-keys&gt;&lt;key app="EN" db-id="9pe52as9u9a2etepf29pav9uwarprzfa2xea" timestamp="1445248430"&gt;145&lt;/key&gt;&lt;/foreign-keys&gt;&lt;ref-type name="Journal Article"&gt;17&lt;/ref-type&gt;&lt;contributors&gt;&lt;authors&gt;&lt;author&gt;Fainstein, Susan S.&lt;/author&gt;&lt;/authors&gt;&lt;/contributors&gt;&lt;titles&gt;&lt;title&gt;New Directions in Planning Theory&lt;/title&gt;&lt;secondary-title&gt;Urban Affairs Review&lt;/secondary-title&gt;&lt;/titles&gt;&lt;periodical&gt;&lt;full-title&gt;Urban Affairs Review&lt;/full-title&gt;&lt;/periodical&gt;&lt;pages&gt;451-478&lt;/pages&gt;&lt;volume&gt;35&lt;/volume&gt;&lt;number&gt;4&lt;/number&gt;&lt;dates&gt;&lt;year&gt;2000&lt;/year&gt;&lt;pub-dates&gt;&lt;date&gt;March 1, 2000&lt;/date&gt;&lt;/pub-dates&gt;&lt;/dates&gt;&lt;urls&gt;&lt;related-urls&gt;&lt;url&gt;http://uar.sagepub.com/content/35/4/451.abstract&lt;/url&gt;&lt;/related-urls&gt;&lt;/urls&gt;&lt;electronic-resource-num&gt;10.1177/107808740003500401&lt;/electronic-resource-num&gt;&lt;/record&gt;&lt;/Cite&gt;&lt;/EndNote&gt;</w:instrText>
      </w:r>
      <w:r w:rsidR="00202753">
        <w:rPr>
          <w:rFonts w:ascii="Times New Roman" w:hAnsi="Times New Roman"/>
          <w:sz w:val="24"/>
          <w:szCs w:val="24"/>
        </w:rPr>
        <w:fldChar w:fldCharType="separate"/>
      </w:r>
      <w:r w:rsidR="00202753">
        <w:rPr>
          <w:rFonts w:ascii="Times New Roman" w:hAnsi="Times New Roman"/>
          <w:noProof/>
          <w:sz w:val="24"/>
          <w:szCs w:val="24"/>
        </w:rPr>
        <w:t>(Fainstein, 2000: 471)</w:t>
      </w:r>
      <w:r w:rsidR="00202753">
        <w:rPr>
          <w:rFonts w:ascii="Times New Roman" w:hAnsi="Times New Roman"/>
          <w:sz w:val="24"/>
          <w:szCs w:val="24"/>
        </w:rPr>
        <w:fldChar w:fldCharType="end"/>
      </w:r>
      <w:r w:rsidR="00202753">
        <w:rPr>
          <w:rFonts w:ascii="Times New Roman" w:hAnsi="Times New Roman"/>
          <w:sz w:val="24"/>
          <w:szCs w:val="24"/>
        </w:rPr>
        <w:t xml:space="preserve">. </w:t>
      </w:r>
      <w:r>
        <w:rPr>
          <w:rFonts w:ascii="Times New Roman" w:hAnsi="Times New Roman"/>
          <w:sz w:val="24"/>
          <w:szCs w:val="24"/>
        </w:rPr>
        <w:t xml:space="preserve">Since inequality is one of the most common challenges of the developing world, it becomes clear that the Just City framework </w:t>
      </w:r>
      <w:r w:rsidR="008E5F44">
        <w:rPr>
          <w:rFonts w:ascii="Times New Roman" w:hAnsi="Times New Roman"/>
          <w:sz w:val="24"/>
          <w:szCs w:val="24"/>
        </w:rPr>
        <w:t xml:space="preserve">has </w:t>
      </w:r>
      <w:r>
        <w:rPr>
          <w:rFonts w:ascii="Times New Roman" w:hAnsi="Times New Roman"/>
          <w:sz w:val="24"/>
          <w:szCs w:val="24"/>
        </w:rPr>
        <w:t xml:space="preserve">more chances of success only on urban contexts that have similar challenges of the developed world. This problem is also present with Fincher and </w:t>
      </w:r>
      <w:proofErr w:type="spellStart"/>
      <w:r>
        <w:rPr>
          <w:rFonts w:ascii="Times New Roman" w:hAnsi="Times New Roman"/>
          <w:sz w:val="24"/>
          <w:szCs w:val="24"/>
        </w:rPr>
        <w:t>Iveson’s</w:t>
      </w:r>
      <w:proofErr w:type="spellEnd"/>
      <w:r>
        <w:rPr>
          <w:rFonts w:ascii="Times New Roman" w:hAnsi="Times New Roman"/>
          <w:sz w:val="24"/>
          <w:szCs w:val="24"/>
        </w:rPr>
        <w:t xml:space="preserve"> Planning with Diversity framework. The authors have created a normative guide of how to plan urban spaces for redistribution, recognition and encounter. Nevertheless, this strategy was not only created based on a North-American urban environment, it also does not acknowledge the complexities of extremely unequal cities.</w:t>
      </w:r>
    </w:p>
    <w:p w:rsidR="003E6701" w:rsidRDefault="003E6701" w:rsidP="003E6701">
      <w:pPr>
        <w:pStyle w:val="Corpo"/>
        <w:spacing w:line="240" w:lineRule="auto"/>
        <w:jc w:val="both"/>
        <w:rPr>
          <w:rFonts w:ascii="Times New Roman" w:eastAsia="Times New Roman" w:hAnsi="Times New Roman" w:cs="Times New Roman"/>
          <w:i/>
          <w:iCs/>
        </w:rPr>
      </w:pPr>
      <w:r>
        <w:rPr>
          <w:rFonts w:ascii="Times New Roman" w:hAnsi="Times New Roman"/>
          <w:sz w:val="24"/>
          <w:szCs w:val="24"/>
        </w:rPr>
        <w:lastRenderedPageBreak/>
        <w:t xml:space="preserve">Yet, the fundamental objectives of the Just City framework or the Planning with Diversity framework have no theoretical incompatibility with the aims of most the developing countries cities. They all could profit </w:t>
      </w:r>
      <w:r w:rsidR="008E5F44">
        <w:rPr>
          <w:rFonts w:ascii="Times New Roman" w:hAnsi="Times New Roman"/>
          <w:sz w:val="24"/>
          <w:szCs w:val="24"/>
        </w:rPr>
        <w:t xml:space="preserve">from </w:t>
      </w:r>
      <w:r>
        <w:rPr>
          <w:rFonts w:ascii="Times New Roman" w:hAnsi="Times New Roman"/>
          <w:sz w:val="24"/>
          <w:szCs w:val="24"/>
        </w:rPr>
        <w:t xml:space="preserve">having stronger social connections. The main dilemma here is how to achieve that in an urban context where inequality hinders the capacity of promoting social connections. Creating spaces of encounter, recognition and redistribution does not seem to be sufficient in complex and uneven urban environments. In other words, the simple promotion of spatial connection in developing countries’ cities does not necessarily lead to the promotion of social connection. With this in mind, this research focused on the spatial variables, beyond simple spatial connection, involved in the promotion of social connection. The main question that this </w:t>
      </w:r>
      <w:r w:rsidRPr="00552899">
        <w:rPr>
          <w:rFonts w:ascii="Times New Roman" w:hAnsi="Times New Roman"/>
          <w:sz w:val="24"/>
          <w:szCs w:val="24"/>
        </w:rPr>
        <w:t>article address</w:t>
      </w:r>
      <w:r w:rsidR="008E5F44">
        <w:rPr>
          <w:rFonts w:ascii="Times New Roman" w:hAnsi="Times New Roman"/>
          <w:sz w:val="24"/>
          <w:szCs w:val="24"/>
        </w:rPr>
        <w:t>es</w:t>
      </w:r>
      <w:r w:rsidRPr="00552899">
        <w:rPr>
          <w:rFonts w:ascii="Times New Roman" w:hAnsi="Times New Roman"/>
          <w:sz w:val="24"/>
          <w:szCs w:val="24"/>
        </w:rPr>
        <w:t xml:space="preserve"> is </w:t>
      </w:r>
      <w:r w:rsidRPr="00EF448C">
        <w:rPr>
          <w:rFonts w:ascii="Times New Roman" w:hAnsi="Times New Roman"/>
          <w:i/>
          <w:sz w:val="24"/>
          <w:szCs w:val="24"/>
        </w:rPr>
        <w:t>t</w:t>
      </w:r>
      <w:r w:rsidRPr="00EF448C">
        <w:rPr>
          <w:rFonts w:ascii="Times New Roman" w:hAnsi="Times New Roman"/>
          <w:i/>
          <w:iCs/>
          <w:sz w:val="24"/>
          <w:szCs w:val="24"/>
        </w:rPr>
        <w:t>o what extent can spatial connection promote social connection in metropolitan cities?</w:t>
      </w:r>
    </w:p>
    <w:p w:rsidR="003E6701" w:rsidRDefault="003E6701" w:rsidP="003E6701">
      <w:pPr>
        <w:pStyle w:val="Corpo"/>
        <w:spacing w:line="240" w:lineRule="auto"/>
        <w:jc w:val="both"/>
        <w:rPr>
          <w:rFonts w:ascii="Times New Roman" w:hAnsi="Times New Roman"/>
          <w:sz w:val="24"/>
          <w:szCs w:val="24"/>
        </w:rPr>
      </w:pPr>
      <w:r>
        <w:rPr>
          <w:rFonts w:ascii="Times New Roman" w:hAnsi="Times New Roman"/>
          <w:sz w:val="24"/>
          <w:szCs w:val="24"/>
        </w:rPr>
        <w:t>To address this question the strategy of this article is to conduct a comparative study between the cities of São Paulo and Brasília</w:t>
      </w:r>
      <w:r w:rsidR="0038366B">
        <w:rPr>
          <w:rStyle w:val="FootnoteReference"/>
          <w:rFonts w:ascii="Times New Roman" w:hAnsi="Times New Roman"/>
          <w:sz w:val="24"/>
          <w:szCs w:val="24"/>
        </w:rPr>
        <w:footnoteReference w:id="2"/>
      </w:r>
      <w:r>
        <w:rPr>
          <w:rFonts w:ascii="Times New Roman" w:hAnsi="Times New Roman"/>
          <w:sz w:val="24"/>
          <w:szCs w:val="24"/>
        </w:rPr>
        <w:t xml:space="preserve">. São Paulo was defined by </w:t>
      </w:r>
      <w:proofErr w:type="spellStart"/>
      <w:r>
        <w:rPr>
          <w:rFonts w:ascii="Times New Roman" w:hAnsi="Times New Roman"/>
          <w:sz w:val="24"/>
          <w:szCs w:val="24"/>
        </w:rPr>
        <w:t>Caldeira</w:t>
      </w:r>
      <w:proofErr w:type="spellEnd"/>
      <w:r>
        <w:rPr>
          <w:rFonts w:ascii="Times New Roman" w:hAnsi="Times New Roman"/>
          <w:sz w:val="24"/>
          <w:szCs w:val="24"/>
        </w:rPr>
        <w:t xml:space="preserve"> </w:t>
      </w:r>
      <w:r w:rsidR="00202753">
        <w:rPr>
          <w:rFonts w:ascii="Times New Roman" w:hAnsi="Times New Roman"/>
          <w:sz w:val="24"/>
          <w:szCs w:val="24"/>
        </w:rPr>
        <w:fldChar w:fldCharType="begin"/>
      </w:r>
      <w:r w:rsidR="00202753">
        <w:rPr>
          <w:rFonts w:ascii="Times New Roman" w:hAnsi="Times New Roman"/>
          <w:sz w:val="24"/>
          <w:szCs w:val="24"/>
        </w:rPr>
        <w:instrText xml:space="preserve"> ADDIN EN.CITE &lt;EndNote&gt;&lt;Cite ExcludeAuth="1"&gt;&lt;Author&gt;Caldeira&lt;/Author&gt;&lt;Year&gt;2000&lt;/Year&gt;&lt;RecNum&gt;46&lt;/RecNum&gt;&lt;DisplayText&gt;(2000)&lt;/DisplayText&gt;&lt;record&gt;&lt;rec-number&gt;46&lt;/rec-number&gt;&lt;foreign-keys&gt;&lt;key app="EN" db-id="9pe52as9u9a2etepf29pav9uwarprzfa2xea" timestamp="1433180922"&gt;46&lt;/key&gt;&lt;/foreign-keys&gt;&lt;ref-type name="Book"&gt;6&lt;/ref-type&gt;&lt;contributors&gt;&lt;authors&gt;&lt;author&gt;Teresa P. R. Caldeira&lt;/author&gt;&lt;/authors&gt;&lt;/contributors&gt;&lt;titles&gt;&lt;title&gt;City of walls. Crime, segregation, and citizenship in São Paulo.&lt;/title&gt;&lt;/titles&gt;&lt;dates&gt;&lt;year&gt;2000&lt;/year&gt;&lt;/dates&gt;&lt;pub-location&gt;Berkeley&lt;/pub-location&gt;&lt;publisher&gt;University of California Press&lt;/publisher&gt;&lt;isbn&gt;978-0-520-22143-7&lt;/isbn&gt;&lt;urls&gt;&lt;/urls&gt;&lt;/record&gt;&lt;/Cite&gt;&lt;/EndNote&gt;</w:instrText>
      </w:r>
      <w:r w:rsidR="00202753">
        <w:rPr>
          <w:rFonts w:ascii="Times New Roman" w:hAnsi="Times New Roman"/>
          <w:sz w:val="24"/>
          <w:szCs w:val="24"/>
        </w:rPr>
        <w:fldChar w:fldCharType="separate"/>
      </w:r>
      <w:r w:rsidR="00202753">
        <w:rPr>
          <w:rFonts w:ascii="Times New Roman" w:hAnsi="Times New Roman"/>
          <w:noProof/>
          <w:sz w:val="24"/>
          <w:szCs w:val="24"/>
        </w:rPr>
        <w:t>(2000)</w:t>
      </w:r>
      <w:r w:rsidR="00202753">
        <w:rPr>
          <w:rFonts w:ascii="Times New Roman" w:hAnsi="Times New Roman"/>
          <w:sz w:val="24"/>
          <w:szCs w:val="24"/>
        </w:rPr>
        <w:fldChar w:fldCharType="end"/>
      </w:r>
      <w:r>
        <w:rPr>
          <w:rFonts w:ascii="Times New Roman" w:hAnsi="Times New Roman"/>
          <w:sz w:val="24"/>
          <w:szCs w:val="24"/>
        </w:rPr>
        <w:t xml:space="preserve"> as the “City of Walls," where spatial segregation would be so strong that it would corrode citizenship and promote violence. In the other hand, Brasília is the concretization of the modernist dream, where its residential buildings are elevated by </w:t>
      </w:r>
      <w:proofErr w:type="spellStart"/>
      <w:r>
        <w:rPr>
          <w:rFonts w:ascii="Times New Roman" w:hAnsi="Times New Roman"/>
          <w:i/>
          <w:iCs/>
          <w:sz w:val="24"/>
          <w:szCs w:val="24"/>
        </w:rPr>
        <w:t>pilotis</w:t>
      </w:r>
      <w:proofErr w:type="spellEnd"/>
      <w:r>
        <w:rPr>
          <w:rFonts w:ascii="Times New Roman" w:hAnsi="Times New Roman"/>
          <w:sz w:val="24"/>
          <w:szCs w:val="24"/>
        </w:rPr>
        <w:t xml:space="preserve"> on the ground level and they do not have any physical spatial barriers. In theory, they would be extreme examples of “bad” and “good" planning practices to promote social connections. Nevertheless, physical connection between fragmented spaces in the city does not necessarily bring social connection between diverse groups or individuals. Moreover, the fragmentation of space does not necessarily lead to the corrosion of social connections. The relation between these two concepts is not as straightforward, especially in complex urban environments of developing countries. In that sense, this comparative study will shed some light on the underlying forces of how social connection is related to spatial connection in contemporary complex metropolitan cities. </w:t>
      </w:r>
    </w:p>
    <w:p w:rsidR="0038366B" w:rsidRDefault="003E6701" w:rsidP="0038366B">
      <w:pPr>
        <w:pStyle w:val="Corpo"/>
        <w:spacing w:line="240" w:lineRule="auto"/>
        <w:jc w:val="both"/>
        <w:rPr>
          <w:rFonts w:ascii="Times New Roman" w:hAnsi="Times New Roman"/>
          <w:sz w:val="24"/>
          <w:szCs w:val="24"/>
        </w:rPr>
      </w:pPr>
      <w:r>
        <w:rPr>
          <w:rFonts w:ascii="Times New Roman" w:hAnsi="Times New Roman"/>
          <w:sz w:val="24"/>
          <w:szCs w:val="24"/>
        </w:rPr>
        <w:t xml:space="preserve">The methods used on this research are mainly qualitative. The strategy is to use interviews and field observation to investigate in detail the social challenges involved in this complex relationship between spatial and social connection. </w:t>
      </w:r>
      <w:r w:rsidR="006D0775">
        <w:rPr>
          <w:rFonts w:ascii="Times New Roman" w:hAnsi="Times New Roman"/>
          <w:sz w:val="24"/>
          <w:szCs w:val="24"/>
        </w:rPr>
        <w:t>The article will present the data collected from 40 in-depth interviews conducted in São Paulo and in Brasília. During the one-month field trip, besides the in-depth semi-structured interviews, field observation techniques were also applied. As aforementioned, the article started as a theoretical reflection, which will constitute the first section of the paper, followed by a second section about the contextualization of this problem in Brazil. The third section focus</w:t>
      </w:r>
      <w:r w:rsidR="008E5F44">
        <w:rPr>
          <w:rFonts w:ascii="Times New Roman" w:hAnsi="Times New Roman"/>
          <w:sz w:val="24"/>
          <w:szCs w:val="24"/>
        </w:rPr>
        <w:t>es</w:t>
      </w:r>
      <w:r w:rsidR="006D0775">
        <w:rPr>
          <w:rFonts w:ascii="Times New Roman" w:hAnsi="Times New Roman"/>
          <w:sz w:val="24"/>
          <w:szCs w:val="24"/>
        </w:rPr>
        <w:t xml:space="preserve"> on the methodology and describes the strategy, the strength and the weakness of the methods used. The fourth section presents a discussion of the data analysis, followed by the last section with some </w:t>
      </w:r>
      <w:bookmarkStart w:id="0" w:name="_GoBack"/>
      <w:r w:rsidR="008E5F44">
        <w:rPr>
          <w:rFonts w:ascii="Times New Roman" w:hAnsi="Times New Roman"/>
          <w:sz w:val="24"/>
          <w:szCs w:val="24"/>
        </w:rPr>
        <w:t xml:space="preserve">concluding </w:t>
      </w:r>
      <w:bookmarkEnd w:id="0"/>
      <w:r w:rsidR="006D0775">
        <w:rPr>
          <w:rFonts w:ascii="Times New Roman" w:hAnsi="Times New Roman"/>
          <w:sz w:val="24"/>
          <w:szCs w:val="24"/>
        </w:rPr>
        <w:t xml:space="preserve">remarks to contribute to the debate on the promotion of social connection through spatial connection. Challenges of complex and uneven urban environments, such as the Brazilian </w:t>
      </w:r>
      <w:r w:rsidR="006D0775">
        <w:rPr>
          <w:rFonts w:ascii="Times New Roman" w:hAnsi="Times New Roman"/>
          <w:sz w:val="24"/>
          <w:szCs w:val="24"/>
        </w:rPr>
        <w:lastRenderedPageBreak/>
        <w:t>metropolises, can contribute extremely to the understanding of the underlying forces of social connection not only in the developing countries, but also in developed countries cities.</w:t>
      </w:r>
    </w:p>
    <w:p w:rsidR="0038366B" w:rsidRPr="0038366B" w:rsidRDefault="0038366B" w:rsidP="0038366B">
      <w:pPr>
        <w:pStyle w:val="Corpo"/>
        <w:spacing w:before="0" w:beforeAutospacing="0" w:after="0" w:afterAutospacing="0" w:line="240" w:lineRule="auto"/>
        <w:jc w:val="both"/>
        <w:rPr>
          <w:rFonts w:ascii="Times New Roman" w:hAnsi="Times New Roman"/>
          <w:sz w:val="24"/>
          <w:szCs w:val="24"/>
        </w:rPr>
      </w:pPr>
      <w:r w:rsidRPr="0038366B">
        <w:rPr>
          <w:rFonts w:ascii="Times New Roman" w:hAnsi="Times New Roman"/>
          <w:b/>
          <w:sz w:val="24"/>
          <w:szCs w:val="24"/>
        </w:rPr>
        <w:t>References</w:t>
      </w:r>
    </w:p>
    <w:p w:rsidR="0038366B" w:rsidRPr="0038366B" w:rsidRDefault="00202753" w:rsidP="0038366B">
      <w:pPr>
        <w:pStyle w:val="EndNoteBibliography"/>
        <w:spacing w:before="0" w:beforeAutospacing="0" w:after="0"/>
        <w:ind w:left="720" w:hanging="720"/>
      </w:pPr>
      <w:r>
        <w:rPr>
          <w:rFonts w:ascii="Times New Roman" w:hAnsi="Times New Roman"/>
          <w:sz w:val="24"/>
        </w:rPr>
        <w:fldChar w:fldCharType="begin"/>
      </w:r>
      <w:r>
        <w:rPr>
          <w:rFonts w:ascii="Times New Roman" w:hAnsi="Times New Roman"/>
          <w:sz w:val="24"/>
        </w:rPr>
        <w:instrText xml:space="preserve"> ADDIN EN.REFLIST </w:instrText>
      </w:r>
      <w:r>
        <w:rPr>
          <w:rFonts w:ascii="Times New Roman" w:hAnsi="Times New Roman"/>
          <w:sz w:val="24"/>
        </w:rPr>
        <w:fldChar w:fldCharType="separate"/>
      </w:r>
      <w:r w:rsidR="0038366B" w:rsidRPr="0038366B">
        <w:t xml:space="preserve">Bauman, Z. (2000). </w:t>
      </w:r>
      <w:r w:rsidR="0038366B" w:rsidRPr="0038366B">
        <w:rPr>
          <w:i/>
        </w:rPr>
        <w:t>Liquid modernity</w:t>
      </w:r>
      <w:r w:rsidR="0038366B" w:rsidRPr="0038366B">
        <w:t>. Cambridge, UK: Blackwell.</w:t>
      </w:r>
    </w:p>
    <w:p w:rsidR="0038366B" w:rsidRPr="0038366B" w:rsidRDefault="0038366B" w:rsidP="0038366B">
      <w:pPr>
        <w:pStyle w:val="EndNoteBibliography"/>
        <w:spacing w:after="0"/>
        <w:ind w:left="720" w:hanging="720"/>
      </w:pPr>
      <w:r w:rsidRPr="0038366B">
        <w:t xml:space="preserve">Bell, D. (1973). </w:t>
      </w:r>
      <w:r w:rsidRPr="0038366B">
        <w:rPr>
          <w:i/>
        </w:rPr>
        <w:t>The coming of post-industrial society; a venture in social forecasting</w:t>
      </w:r>
      <w:r w:rsidRPr="0038366B">
        <w:t>. New York,: Basic Books.</w:t>
      </w:r>
    </w:p>
    <w:p w:rsidR="0038366B" w:rsidRPr="0038366B" w:rsidRDefault="0038366B" w:rsidP="0038366B">
      <w:pPr>
        <w:pStyle w:val="EndNoteBibliography"/>
        <w:spacing w:after="0"/>
        <w:ind w:left="720" w:hanging="720"/>
      </w:pPr>
      <w:r w:rsidRPr="0038366B">
        <w:t xml:space="preserve">Caldeira, T. P. R. (2000). </w:t>
      </w:r>
      <w:r w:rsidRPr="0038366B">
        <w:rPr>
          <w:i/>
        </w:rPr>
        <w:t>City of walls. Crime, segregation, and citizenship in São Paulo.</w:t>
      </w:r>
      <w:r w:rsidRPr="0038366B">
        <w:t xml:space="preserve"> Berkeley: University of California Press.</w:t>
      </w:r>
    </w:p>
    <w:p w:rsidR="0038366B" w:rsidRPr="0038366B" w:rsidRDefault="0038366B" w:rsidP="0038366B">
      <w:pPr>
        <w:pStyle w:val="EndNoteBibliography"/>
        <w:spacing w:after="0"/>
        <w:ind w:left="720" w:hanging="720"/>
      </w:pPr>
      <w:r w:rsidRPr="0038366B">
        <w:t xml:space="preserve">Castells, M. (2010). </w:t>
      </w:r>
      <w:r w:rsidRPr="0038366B">
        <w:rPr>
          <w:i/>
        </w:rPr>
        <w:t>The rise of the network society</w:t>
      </w:r>
      <w:r w:rsidRPr="0038366B">
        <w:t xml:space="preserve"> (2nd ed.). Chichester, West Sussex ; Malden, MA: Wiley-Blackwell.</w:t>
      </w:r>
    </w:p>
    <w:p w:rsidR="0038366B" w:rsidRPr="0038366B" w:rsidRDefault="0038366B" w:rsidP="0038366B">
      <w:pPr>
        <w:pStyle w:val="EndNoteBibliography"/>
        <w:spacing w:after="0"/>
        <w:ind w:left="720" w:hanging="720"/>
      </w:pPr>
      <w:r w:rsidRPr="0038366B">
        <w:t xml:space="preserve">Fainstein, S. S. (2000). New Directions in Planning Theory. </w:t>
      </w:r>
      <w:r w:rsidRPr="0038366B">
        <w:rPr>
          <w:i/>
        </w:rPr>
        <w:t>Urban Affairs Review, 35</w:t>
      </w:r>
      <w:r w:rsidRPr="0038366B">
        <w:t>(4), 451-478. doi: 10.1177/</w:t>
      </w:r>
      <w:r w:rsidRPr="0038366B">
        <w:rPr>
          <w:rFonts w:ascii="Times New Roman" w:hAnsi="Times New Roman"/>
        </w:rPr>
        <w:t>107808740003500401</w:t>
      </w:r>
    </w:p>
    <w:p w:rsidR="0038366B" w:rsidRPr="0038366B" w:rsidRDefault="0038366B" w:rsidP="0038366B">
      <w:pPr>
        <w:pStyle w:val="EndNoteBibliography"/>
        <w:spacing w:after="0"/>
        <w:ind w:left="720" w:hanging="720"/>
      </w:pPr>
      <w:r w:rsidRPr="0038366B">
        <w:t xml:space="preserve">Fainstein, S. S. (2010). </w:t>
      </w:r>
      <w:r w:rsidRPr="0038366B">
        <w:rPr>
          <w:i/>
        </w:rPr>
        <w:t>The just city</w:t>
      </w:r>
      <w:r w:rsidRPr="0038366B">
        <w:t>. Ithaca: Cornell University Press.</w:t>
      </w:r>
    </w:p>
    <w:p w:rsidR="0038366B" w:rsidRPr="0038366B" w:rsidRDefault="0038366B" w:rsidP="0038366B">
      <w:pPr>
        <w:pStyle w:val="EndNoteBibliography"/>
        <w:ind w:left="720" w:hanging="720"/>
      </w:pPr>
      <w:r w:rsidRPr="0038366B">
        <w:t xml:space="preserve">Fincher, R., &amp; Iveson, K. (2008). </w:t>
      </w:r>
      <w:r w:rsidRPr="0038366B">
        <w:rPr>
          <w:i/>
        </w:rPr>
        <w:t>Planning and Diversity in the City: redistribution, recognition and encounter</w:t>
      </w:r>
      <w:r w:rsidRPr="0038366B">
        <w:t>. New York: Palgrave Macmillan.</w:t>
      </w:r>
    </w:p>
    <w:p w:rsidR="00CF6DF0" w:rsidRDefault="00202753" w:rsidP="003E6701">
      <w:pPr>
        <w:pStyle w:val="Corpo"/>
        <w:spacing w:line="240" w:lineRule="auto"/>
        <w:jc w:val="both"/>
        <w:rPr>
          <w:rFonts w:ascii="Times New Roman" w:hAnsi="Times New Roman"/>
          <w:sz w:val="24"/>
          <w:szCs w:val="24"/>
        </w:rPr>
      </w:pPr>
      <w:r>
        <w:rPr>
          <w:rFonts w:ascii="Times New Roman" w:hAnsi="Times New Roman"/>
          <w:sz w:val="24"/>
          <w:szCs w:val="24"/>
        </w:rPr>
        <w:fldChar w:fldCharType="end"/>
      </w:r>
    </w:p>
    <w:sectPr w:rsidR="00CF6DF0" w:rsidSect="0038366B">
      <w:headerReference w:type="default" r:id="rId8"/>
      <w:footerReference w:type="default" r:id="rId9"/>
      <w:pgSz w:w="11900" w:h="16840" w:code="9"/>
      <w:pgMar w:top="1418" w:right="1418" w:bottom="1418" w:left="1418" w:header="709" w:footer="1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41" w:rsidRDefault="00624E41">
      <w:r>
        <w:separator/>
      </w:r>
    </w:p>
  </w:endnote>
  <w:endnote w:type="continuationSeparator" w:id="0">
    <w:p w:rsidR="00624E41" w:rsidRDefault="0062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75" w:rsidRDefault="006D0775">
    <w:pPr>
      <w:pStyle w:val="CabealhoeRodap"/>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41" w:rsidRDefault="00624E41">
      <w:r>
        <w:separator/>
      </w:r>
    </w:p>
  </w:footnote>
  <w:footnote w:type="continuationSeparator" w:id="0">
    <w:p w:rsidR="00624E41" w:rsidRDefault="00624E41">
      <w:r>
        <w:continuationSeparator/>
      </w:r>
    </w:p>
  </w:footnote>
  <w:footnote w:type="continuationNotice" w:id="1">
    <w:p w:rsidR="00624E41" w:rsidRDefault="00624E41"/>
  </w:footnote>
  <w:footnote w:id="2">
    <w:p w:rsidR="0038366B" w:rsidRPr="0038366B" w:rsidRDefault="0038366B">
      <w:pPr>
        <w:pStyle w:val="FootnoteText"/>
        <w:rPr>
          <w:lang w:val="nl-NL"/>
        </w:rPr>
      </w:pPr>
      <w:r>
        <w:rPr>
          <w:rStyle w:val="FootnoteReference"/>
        </w:rPr>
        <w:footnoteRef/>
      </w:r>
      <w:r>
        <w:t xml:space="preserve"> This article is part of a broader research plan investigating resilient issues in Brazilian metropolises, where social connections are an important aspect. This is way two Brazilian metropolises were selected.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75" w:rsidRDefault="006D0775">
    <w:pPr>
      <w:pStyle w:val="CabealhoeRodap"/>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e52as9u9a2etepf29pav9uwarprzfa2xea&quot;&gt;My EndNote Library&lt;record-ids&gt;&lt;item&gt;46&lt;/item&gt;&lt;item&gt;52&lt;/item&gt;&lt;item&gt;81&lt;/item&gt;&lt;item&gt;86&lt;/item&gt;&lt;item&gt;91&lt;/item&gt;&lt;item&gt;144&lt;/item&gt;&lt;item&gt;145&lt;/item&gt;&lt;/record-ids&gt;&lt;/item&gt;&lt;/Libraries&gt;"/>
  </w:docVars>
  <w:rsids>
    <w:rsidRoot w:val="007B58FA"/>
    <w:rsid w:val="000A3EDF"/>
    <w:rsid w:val="00110923"/>
    <w:rsid w:val="00202753"/>
    <w:rsid w:val="002D6B85"/>
    <w:rsid w:val="0038366B"/>
    <w:rsid w:val="003E6701"/>
    <w:rsid w:val="00552899"/>
    <w:rsid w:val="005E489E"/>
    <w:rsid w:val="00624E41"/>
    <w:rsid w:val="006D0775"/>
    <w:rsid w:val="00792991"/>
    <w:rsid w:val="007B58FA"/>
    <w:rsid w:val="008E5F44"/>
    <w:rsid w:val="00941925"/>
    <w:rsid w:val="00A52A88"/>
    <w:rsid w:val="00B9203E"/>
    <w:rsid w:val="00C6479A"/>
    <w:rsid w:val="00CF6DF0"/>
    <w:rsid w:val="00DF5B9C"/>
    <w:rsid w:val="00E27AAA"/>
    <w:rsid w:val="00EC0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nl-NL" w:eastAsia="nl-NL" w:bidi="ar-SA"/>
      </w:rPr>
    </w:rPrDefault>
    <w:pPrDefault>
      <w:pPr>
        <w:spacing w:before="100" w:beforeAutospacing="1" w:after="100" w:afterAutospacing="1"/>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8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2A88"/>
    <w:rPr>
      <w:rFonts w:cs="Times New Roman"/>
      <w:u w:val="single"/>
    </w:rPr>
  </w:style>
  <w:style w:type="paragraph" w:customStyle="1" w:styleId="CabealhoeRodap">
    <w:name w:val="Cabeçalho e Rodapé"/>
    <w:uiPriority w:val="99"/>
    <w:rsid w:val="00A52A8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en-US" w:eastAsia="en-US"/>
    </w:rPr>
  </w:style>
  <w:style w:type="paragraph" w:customStyle="1" w:styleId="Corpo">
    <w:name w:val="Corpo"/>
    <w:link w:val="CorpoChar"/>
    <w:uiPriority w:val="99"/>
    <w:rsid w:val="00A52A8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Arial Unicode MS"/>
      <w:color w:val="000000"/>
      <w:u w:color="000000"/>
      <w:lang w:val="en-US" w:eastAsia="en-US"/>
    </w:rPr>
  </w:style>
  <w:style w:type="paragraph" w:customStyle="1" w:styleId="Notaderodap">
    <w:name w:val="Nota de rodapé"/>
    <w:uiPriority w:val="99"/>
    <w:rsid w:val="00A52A8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lang w:val="en-US" w:eastAsia="en-US"/>
    </w:rPr>
  </w:style>
  <w:style w:type="paragraph" w:styleId="BalloonText">
    <w:name w:val="Balloon Text"/>
    <w:basedOn w:val="Normal"/>
    <w:link w:val="BalloonTextChar"/>
    <w:uiPriority w:val="99"/>
    <w:semiHidden/>
    <w:rsid w:val="000A3E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A3EDF"/>
    <w:rPr>
      <w:rFonts w:ascii="Lucida Grande" w:hAnsi="Lucida Grande" w:cs="Lucida Grande"/>
      <w:sz w:val="18"/>
      <w:szCs w:val="18"/>
    </w:rPr>
  </w:style>
  <w:style w:type="character" w:styleId="CommentReference">
    <w:name w:val="annotation reference"/>
    <w:basedOn w:val="DefaultParagraphFont"/>
    <w:uiPriority w:val="99"/>
    <w:semiHidden/>
    <w:rsid w:val="000A3EDF"/>
    <w:rPr>
      <w:rFonts w:cs="Times New Roman"/>
      <w:sz w:val="18"/>
      <w:szCs w:val="18"/>
    </w:rPr>
  </w:style>
  <w:style w:type="paragraph" w:styleId="CommentText">
    <w:name w:val="annotation text"/>
    <w:basedOn w:val="Normal"/>
    <w:link w:val="CommentTextChar"/>
    <w:uiPriority w:val="99"/>
    <w:semiHidden/>
    <w:rsid w:val="000A3EDF"/>
  </w:style>
  <w:style w:type="character" w:customStyle="1" w:styleId="CommentTextChar">
    <w:name w:val="Comment Text Char"/>
    <w:basedOn w:val="DefaultParagraphFont"/>
    <w:link w:val="CommentText"/>
    <w:uiPriority w:val="99"/>
    <w:semiHidden/>
    <w:locked/>
    <w:rsid w:val="000A3EDF"/>
    <w:rPr>
      <w:rFonts w:cs="Times New Roman"/>
      <w:sz w:val="24"/>
      <w:szCs w:val="24"/>
    </w:rPr>
  </w:style>
  <w:style w:type="paragraph" w:styleId="CommentSubject">
    <w:name w:val="annotation subject"/>
    <w:basedOn w:val="CommentText"/>
    <w:next w:val="CommentText"/>
    <w:link w:val="CommentSubjectChar"/>
    <w:uiPriority w:val="99"/>
    <w:semiHidden/>
    <w:rsid w:val="000A3EDF"/>
    <w:rPr>
      <w:b/>
      <w:bCs/>
      <w:sz w:val="20"/>
      <w:szCs w:val="20"/>
    </w:rPr>
  </w:style>
  <w:style w:type="character" w:customStyle="1" w:styleId="CommentSubjectChar">
    <w:name w:val="Comment Subject Char"/>
    <w:basedOn w:val="CommentTextChar"/>
    <w:link w:val="CommentSubject"/>
    <w:uiPriority w:val="99"/>
    <w:semiHidden/>
    <w:locked/>
    <w:rsid w:val="000A3EDF"/>
    <w:rPr>
      <w:rFonts w:cs="Times New Roman"/>
      <w:b/>
      <w:bCs/>
      <w:sz w:val="24"/>
      <w:szCs w:val="24"/>
    </w:rPr>
  </w:style>
  <w:style w:type="paragraph" w:styleId="Revision">
    <w:name w:val="Revision"/>
    <w:hidden/>
    <w:uiPriority w:val="99"/>
    <w:semiHidden/>
    <w:rsid w:val="002D6B85"/>
    <w:rPr>
      <w:sz w:val="24"/>
      <w:szCs w:val="24"/>
      <w:lang w:val="en-US" w:eastAsia="en-US"/>
    </w:rPr>
  </w:style>
  <w:style w:type="paragraph" w:customStyle="1" w:styleId="EndNoteBibliographyTitle">
    <w:name w:val="EndNote Bibliography Title"/>
    <w:basedOn w:val="Normal"/>
    <w:link w:val="EndNoteBibliographyTitleChar"/>
    <w:rsid w:val="00202753"/>
    <w:pPr>
      <w:jc w:val="center"/>
    </w:pPr>
    <w:rPr>
      <w:rFonts w:ascii="Calibri" w:hAnsi="Calibri"/>
      <w:noProof/>
      <w:sz w:val="22"/>
    </w:rPr>
  </w:style>
  <w:style w:type="character" w:customStyle="1" w:styleId="CorpoChar">
    <w:name w:val="Corpo Char"/>
    <w:basedOn w:val="DefaultParagraphFont"/>
    <w:link w:val="Corpo"/>
    <w:uiPriority w:val="99"/>
    <w:rsid w:val="00202753"/>
    <w:rPr>
      <w:rFonts w:ascii="Calibri" w:hAnsi="Calibri" w:cs="Arial Unicode MS"/>
      <w:color w:val="000000"/>
      <w:u w:color="000000"/>
      <w:lang w:val="en-US" w:eastAsia="en-US"/>
    </w:rPr>
  </w:style>
  <w:style w:type="character" w:customStyle="1" w:styleId="EndNoteBibliographyTitleChar">
    <w:name w:val="EndNote Bibliography Title Char"/>
    <w:basedOn w:val="CorpoChar"/>
    <w:link w:val="EndNoteBibliographyTitle"/>
    <w:rsid w:val="00202753"/>
    <w:rPr>
      <w:rFonts w:ascii="Calibri" w:hAnsi="Calibri" w:cs="Arial Unicode MS"/>
      <w:noProof/>
      <w:color w:val="000000"/>
      <w:szCs w:val="24"/>
      <w:u w:color="000000"/>
      <w:lang w:val="en-US" w:eastAsia="en-US"/>
    </w:rPr>
  </w:style>
  <w:style w:type="paragraph" w:customStyle="1" w:styleId="EndNoteBibliography">
    <w:name w:val="EndNote Bibliography"/>
    <w:basedOn w:val="Normal"/>
    <w:link w:val="EndNoteBibliographyChar"/>
    <w:rsid w:val="00202753"/>
    <w:pPr>
      <w:jc w:val="both"/>
    </w:pPr>
    <w:rPr>
      <w:rFonts w:ascii="Calibri" w:hAnsi="Calibri"/>
      <w:noProof/>
      <w:sz w:val="22"/>
    </w:rPr>
  </w:style>
  <w:style w:type="character" w:customStyle="1" w:styleId="EndNoteBibliographyChar">
    <w:name w:val="EndNote Bibliography Char"/>
    <w:basedOn w:val="CorpoChar"/>
    <w:link w:val="EndNoteBibliography"/>
    <w:rsid w:val="00202753"/>
    <w:rPr>
      <w:rFonts w:ascii="Calibri" w:hAnsi="Calibri" w:cs="Arial Unicode MS"/>
      <w:noProof/>
      <w:color w:val="000000"/>
      <w:szCs w:val="24"/>
      <w:u w:color="000000"/>
      <w:lang w:val="en-US" w:eastAsia="en-US"/>
    </w:rPr>
  </w:style>
  <w:style w:type="paragraph" w:styleId="FootnoteText">
    <w:name w:val="footnote text"/>
    <w:basedOn w:val="Normal"/>
    <w:link w:val="FootnoteTextChar"/>
    <w:uiPriority w:val="99"/>
    <w:semiHidden/>
    <w:unhideWhenUsed/>
    <w:rsid w:val="0038366B"/>
    <w:pPr>
      <w:spacing w:before="0" w:after="0"/>
    </w:pPr>
    <w:rPr>
      <w:sz w:val="20"/>
      <w:szCs w:val="20"/>
    </w:rPr>
  </w:style>
  <w:style w:type="character" w:customStyle="1" w:styleId="FootnoteTextChar">
    <w:name w:val="Footnote Text Char"/>
    <w:basedOn w:val="DefaultParagraphFont"/>
    <w:link w:val="FootnoteText"/>
    <w:uiPriority w:val="99"/>
    <w:semiHidden/>
    <w:rsid w:val="0038366B"/>
    <w:rPr>
      <w:sz w:val="20"/>
      <w:szCs w:val="20"/>
      <w:lang w:val="en-US" w:eastAsia="en-US"/>
    </w:rPr>
  </w:style>
  <w:style w:type="character" w:styleId="FootnoteReference">
    <w:name w:val="footnote reference"/>
    <w:basedOn w:val="DefaultParagraphFont"/>
    <w:uiPriority w:val="99"/>
    <w:semiHidden/>
    <w:unhideWhenUsed/>
    <w:rsid w:val="003836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nl-NL" w:eastAsia="nl-NL" w:bidi="ar-SA"/>
      </w:rPr>
    </w:rPrDefault>
    <w:pPrDefault>
      <w:pPr>
        <w:spacing w:before="100" w:beforeAutospacing="1" w:after="100" w:afterAutospacing="1"/>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8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2A88"/>
    <w:rPr>
      <w:rFonts w:cs="Times New Roman"/>
      <w:u w:val="single"/>
    </w:rPr>
  </w:style>
  <w:style w:type="paragraph" w:customStyle="1" w:styleId="CabealhoeRodap">
    <w:name w:val="Cabeçalho e Rodapé"/>
    <w:uiPriority w:val="99"/>
    <w:rsid w:val="00A52A8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en-US" w:eastAsia="en-US"/>
    </w:rPr>
  </w:style>
  <w:style w:type="paragraph" w:customStyle="1" w:styleId="Corpo">
    <w:name w:val="Corpo"/>
    <w:link w:val="CorpoChar"/>
    <w:uiPriority w:val="99"/>
    <w:rsid w:val="00A52A8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Arial Unicode MS"/>
      <w:color w:val="000000"/>
      <w:u w:color="000000"/>
      <w:lang w:val="en-US" w:eastAsia="en-US"/>
    </w:rPr>
  </w:style>
  <w:style w:type="paragraph" w:customStyle="1" w:styleId="Notaderodap">
    <w:name w:val="Nota de rodapé"/>
    <w:uiPriority w:val="99"/>
    <w:rsid w:val="00A52A8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lang w:val="en-US" w:eastAsia="en-US"/>
    </w:rPr>
  </w:style>
  <w:style w:type="paragraph" w:styleId="BalloonText">
    <w:name w:val="Balloon Text"/>
    <w:basedOn w:val="Normal"/>
    <w:link w:val="BalloonTextChar"/>
    <w:uiPriority w:val="99"/>
    <w:semiHidden/>
    <w:rsid w:val="000A3E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A3EDF"/>
    <w:rPr>
      <w:rFonts w:ascii="Lucida Grande" w:hAnsi="Lucida Grande" w:cs="Lucida Grande"/>
      <w:sz w:val="18"/>
      <w:szCs w:val="18"/>
    </w:rPr>
  </w:style>
  <w:style w:type="character" w:styleId="CommentReference">
    <w:name w:val="annotation reference"/>
    <w:basedOn w:val="DefaultParagraphFont"/>
    <w:uiPriority w:val="99"/>
    <w:semiHidden/>
    <w:rsid w:val="000A3EDF"/>
    <w:rPr>
      <w:rFonts w:cs="Times New Roman"/>
      <w:sz w:val="18"/>
      <w:szCs w:val="18"/>
    </w:rPr>
  </w:style>
  <w:style w:type="paragraph" w:styleId="CommentText">
    <w:name w:val="annotation text"/>
    <w:basedOn w:val="Normal"/>
    <w:link w:val="CommentTextChar"/>
    <w:uiPriority w:val="99"/>
    <w:semiHidden/>
    <w:rsid w:val="000A3EDF"/>
  </w:style>
  <w:style w:type="character" w:customStyle="1" w:styleId="CommentTextChar">
    <w:name w:val="Comment Text Char"/>
    <w:basedOn w:val="DefaultParagraphFont"/>
    <w:link w:val="CommentText"/>
    <w:uiPriority w:val="99"/>
    <w:semiHidden/>
    <w:locked/>
    <w:rsid w:val="000A3EDF"/>
    <w:rPr>
      <w:rFonts w:cs="Times New Roman"/>
      <w:sz w:val="24"/>
      <w:szCs w:val="24"/>
    </w:rPr>
  </w:style>
  <w:style w:type="paragraph" w:styleId="CommentSubject">
    <w:name w:val="annotation subject"/>
    <w:basedOn w:val="CommentText"/>
    <w:next w:val="CommentText"/>
    <w:link w:val="CommentSubjectChar"/>
    <w:uiPriority w:val="99"/>
    <w:semiHidden/>
    <w:rsid w:val="000A3EDF"/>
    <w:rPr>
      <w:b/>
      <w:bCs/>
      <w:sz w:val="20"/>
      <w:szCs w:val="20"/>
    </w:rPr>
  </w:style>
  <w:style w:type="character" w:customStyle="1" w:styleId="CommentSubjectChar">
    <w:name w:val="Comment Subject Char"/>
    <w:basedOn w:val="CommentTextChar"/>
    <w:link w:val="CommentSubject"/>
    <w:uiPriority w:val="99"/>
    <w:semiHidden/>
    <w:locked/>
    <w:rsid w:val="000A3EDF"/>
    <w:rPr>
      <w:rFonts w:cs="Times New Roman"/>
      <w:b/>
      <w:bCs/>
      <w:sz w:val="24"/>
      <w:szCs w:val="24"/>
    </w:rPr>
  </w:style>
  <w:style w:type="paragraph" w:styleId="Revision">
    <w:name w:val="Revision"/>
    <w:hidden/>
    <w:uiPriority w:val="99"/>
    <w:semiHidden/>
    <w:rsid w:val="002D6B85"/>
    <w:rPr>
      <w:sz w:val="24"/>
      <w:szCs w:val="24"/>
      <w:lang w:val="en-US" w:eastAsia="en-US"/>
    </w:rPr>
  </w:style>
  <w:style w:type="paragraph" w:customStyle="1" w:styleId="EndNoteBibliographyTitle">
    <w:name w:val="EndNote Bibliography Title"/>
    <w:basedOn w:val="Normal"/>
    <w:link w:val="EndNoteBibliographyTitleChar"/>
    <w:rsid w:val="00202753"/>
    <w:pPr>
      <w:jc w:val="center"/>
    </w:pPr>
    <w:rPr>
      <w:rFonts w:ascii="Calibri" w:hAnsi="Calibri"/>
      <w:noProof/>
      <w:sz w:val="22"/>
    </w:rPr>
  </w:style>
  <w:style w:type="character" w:customStyle="1" w:styleId="CorpoChar">
    <w:name w:val="Corpo Char"/>
    <w:basedOn w:val="DefaultParagraphFont"/>
    <w:link w:val="Corpo"/>
    <w:uiPriority w:val="99"/>
    <w:rsid w:val="00202753"/>
    <w:rPr>
      <w:rFonts w:ascii="Calibri" w:hAnsi="Calibri" w:cs="Arial Unicode MS"/>
      <w:color w:val="000000"/>
      <w:u w:color="000000"/>
      <w:lang w:val="en-US" w:eastAsia="en-US"/>
    </w:rPr>
  </w:style>
  <w:style w:type="character" w:customStyle="1" w:styleId="EndNoteBibliographyTitleChar">
    <w:name w:val="EndNote Bibliography Title Char"/>
    <w:basedOn w:val="CorpoChar"/>
    <w:link w:val="EndNoteBibliographyTitle"/>
    <w:rsid w:val="00202753"/>
    <w:rPr>
      <w:rFonts w:ascii="Calibri" w:hAnsi="Calibri" w:cs="Arial Unicode MS"/>
      <w:noProof/>
      <w:color w:val="000000"/>
      <w:szCs w:val="24"/>
      <w:u w:color="000000"/>
      <w:lang w:val="en-US" w:eastAsia="en-US"/>
    </w:rPr>
  </w:style>
  <w:style w:type="paragraph" w:customStyle="1" w:styleId="EndNoteBibliography">
    <w:name w:val="EndNote Bibliography"/>
    <w:basedOn w:val="Normal"/>
    <w:link w:val="EndNoteBibliographyChar"/>
    <w:rsid w:val="00202753"/>
    <w:pPr>
      <w:jc w:val="both"/>
    </w:pPr>
    <w:rPr>
      <w:rFonts w:ascii="Calibri" w:hAnsi="Calibri"/>
      <w:noProof/>
      <w:sz w:val="22"/>
    </w:rPr>
  </w:style>
  <w:style w:type="character" w:customStyle="1" w:styleId="EndNoteBibliographyChar">
    <w:name w:val="EndNote Bibliography Char"/>
    <w:basedOn w:val="CorpoChar"/>
    <w:link w:val="EndNoteBibliography"/>
    <w:rsid w:val="00202753"/>
    <w:rPr>
      <w:rFonts w:ascii="Calibri" w:hAnsi="Calibri" w:cs="Arial Unicode MS"/>
      <w:noProof/>
      <w:color w:val="000000"/>
      <w:szCs w:val="24"/>
      <w:u w:color="000000"/>
      <w:lang w:val="en-US" w:eastAsia="en-US"/>
    </w:rPr>
  </w:style>
  <w:style w:type="paragraph" w:styleId="FootnoteText">
    <w:name w:val="footnote text"/>
    <w:basedOn w:val="Normal"/>
    <w:link w:val="FootnoteTextChar"/>
    <w:uiPriority w:val="99"/>
    <w:semiHidden/>
    <w:unhideWhenUsed/>
    <w:rsid w:val="0038366B"/>
    <w:pPr>
      <w:spacing w:before="0" w:after="0"/>
    </w:pPr>
    <w:rPr>
      <w:sz w:val="20"/>
      <w:szCs w:val="20"/>
    </w:rPr>
  </w:style>
  <w:style w:type="character" w:customStyle="1" w:styleId="FootnoteTextChar">
    <w:name w:val="Footnote Text Char"/>
    <w:basedOn w:val="DefaultParagraphFont"/>
    <w:link w:val="FootnoteText"/>
    <w:uiPriority w:val="99"/>
    <w:semiHidden/>
    <w:rsid w:val="0038366B"/>
    <w:rPr>
      <w:sz w:val="20"/>
      <w:szCs w:val="20"/>
      <w:lang w:val="en-US" w:eastAsia="en-US"/>
    </w:rPr>
  </w:style>
  <w:style w:type="character" w:styleId="FootnoteReference">
    <w:name w:val="footnote reference"/>
    <w:basedOn w:val="DefaultParagraphFont"/>
    <w:uiPriority w:val="99"/>
    <w:semiHidden/>
    <w:unhideWhenUsed/>
    <w:rsid w:val="003836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9F04099-D279-47E7-A51C-95AB7FC6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340CBAFB</Template>
  <TotalTime>1</TotalTime>
  <Pages>3</Pages>
  <Words>1100</Words>
  <Characters>14920</Characters>
  <Application>Microsoft Office Word</Application>
  <DocSecurity>4</DocSecurity>
  <Lines>124</Lines>
  <Paragraphs>31</Paragraphs>
  <ScaleCrop>false</ScaleCrop>
  <HeadingPairs>
    <vt:vector size="2" baseType="variant">
      <vt:variant>
        <vt:lpstr>Title</vt:lpstr>
      </vt:variant>
      <vt:variant>
        <vt:i4>1</vt:i4>
      </vt:variant>
    </vt:vector>
  </HeadingPairs>
  <TitlesOfParts>
    <vt:vector size="1" baseType="lpstr">
      <vt:lpstr>IV World Planning Schools Congress</vt:lpstr>
    </vt:vector>
  </TitlesOfParts>
  <Company>TUDelft</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World Planning Schools Congress</dc:title>
  <dc:creator>Willem Korthals Altes</dc:creator>
  <cp:lastModifiedBy>Igor Moreno da Cruz Pessoa - BK</cp:lastModifiedBy>
  <cp:revision>2</cp:revision>
  <dcterms:created xsi:type="dcterms:W3CDTF">2015-10-19T11:34:00Z</dcterms:created>
  <dcterms:modified xsi:type="dcterms:W3CDTF">2015-10-19T11:34:00Z</dcterms:modified>
</cp:coreProperties>
</file>