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FD8" w:rsidRPr="006309A6" w:rsidRDefault="00FC6843">
      <w:pPr>
        <w:rPr>
          <w:b/>
        </w:rPr>
      </w:pPr>
      <w:proofErr w:type="gramStart"/>
      <w:r w:rsidRPr="006309A6">
        <w:rPr>
          <w:b/>
        </w:rPr>
        <w:t>Olympic Legacies and City Development Strategies in London and Rio; Beyond the Carnival Mask.</w:t>
      </w:r>
      <w:proofErr w:type="gramEnd"/>
    </w:p>
    <w:p w:rsidR="006309A6" w:rsidRPr="006309A6" w:rsidRDefault="006309A6" w:rsidP="006309A6">
      <w:pPr>
        <w:rPr>
          <w:rFonts w:cs="Times New Roman"/>
          <w:b/>
          <w:lang w:val="en-US"/>
        </w:rPr>
      </w:pPr>
      <w:r w:rsidRPr="006309A6">
        <w:rPr>
          <w:rFonts w:cs="Times New Roman"/>
          <w:b/>
          <w:lang w:val="en-US"/>
        </w:rPr>
        <w:t xml:space="preserve">Authors: </w:t>
      </w:r>
    </w:p>
    <w:p w:rsidR="006309A6" w:rsidRPr="006309A6" w:rsidRDefault="006309A6" w:rsidP="006309A6">
      <w:pPr>
        <w:rPr>
          <w:rFonts w:cs="Times New Roman"/>
          <w:b/>
          <w:lang w:val="en-US"/>
        </w:rPr>
      </w:pPr>
      <w:r w:rsidRPr="006309A6">
        <w:rPr>
          <w:rFonts w:cs="Times New Roman"/>
          <w:b/>
          <w:lang w:val="en-US"/>
        </w:rPr>
        <w:t xml:space="preserve">Sue </w:t>
      </w:r>
      <w:proofErr w:type="spellStart"/>
      <w:r w:rsidRPr="006309A6">
        <w:rPr>
          <w:rFonts w:cs="Times New Roman"/>
          <w:b/>
          <w:lang w:val="en-US"/>
        </w:rPr>
        <w:t>Brownill</w:t>
      </w:r>
      <w:proofErr w:type="spellEnd"/>
      <w:r w:rsidRPr="006309A6">
        <w:rPr>
          <w:rFonts w:cs="Times New Roman"/>
          <w:b/>
          <w:lang w:val="en-US"/>
        </w:rPr>
        <w:t xml:space="preserve"> (Reader in Urban Policy and Governance, School of the Built Environment, Oxford Brookes University)</w:t>
      </w:r>
    </w:p>
    <w:p w:rsidR="006309A6" w:rsidRPr="006309A6" w:rsidRDefault="006309A6" w:rsidP="006309A6">
      <w:pPr>
        <w:rPr>
          <w:rFonts w:cs="Times New Roman"/>
          <w:b/>
          <w:lang w:val="en-US"/>
        </w:rPr>
      </w:pPr>
      <w:proofErr w:type="spellStart"/>
      <w:r w:rsidRPr="006309A6">
        <w:rPr>
          <w:rFonts w:cs="Times New Roman"/>
          <w:b/>
          <w:lang w:val="en-US"/>
        </w:rPr>
        <w:t>Ramin</w:t>
      </w:r>
      <w:proofErr w:type="spellEnd"/>
      <w:r w:rsidRPr="006309A6">
        <w:rPr>
          <w:rFonts w:cs="Times New Roman"/>
          <w:b/>
          <w:lang w:val="en-US"/>
        </w:rPr>
        <w:t xml:space="preserve"> </w:t>
      </w:r>
      <w:proofErr w:type="spellStart"/>
      <w:r w:rsidRPr="006309A6">
        <w:rPr>
          <w:rFonts w:cs="Times New Roman"/>
          <w:b/>
          <w:lang w:val="en-US"/>
        </w:rPr>
        <w:t>Keivani</w:t>
      </w:r>
      <w:proofErr w:type="spellEnd"/>
      <w:r w:rsidRPr="006309A6">
        <w:rPr>
          <w:rFonts w:cs="Times New Roman"/>
          <w:b/>
          <w:lang w:val="en-US"/>
        </w:rPr>
        <w:t xml:space="preserve"> (Professor of International Land Policy and Urban Development, School of the Built Environment, Oxford Brookes University)</w:t>
      </w:r>
    </w:p>
    <w:p w:rsidR="006309A6" w:rsidRPr="006309A6" w:rsidRDefault="006309A6" w:rsidP="006309A6">
      <w:pPr>
        <w:rPr>
          <w:rFonts w:cs="Times New Roman"/>
          <w:b/>
          <w:lang w:val="en-US"/>
        </w:rPr>
      </w:pPr>
      <w:r w:rsidRPr="006309A6">
        <w:rPr>
          <w:rFonts w:cs="Times New Roman"/>
          <w:b/>
          <w:lang w:val="en-US"/>
        </w:rPr>
        <w:t xml:space="preserve">Erick S. </w:t>
      </w:r>
      <w:proofErr w:type="spellStart"/>
      <w:r w:rsidRPr="006309A6">
        <w:rPr>
          <w:rFonts w:cs="Times New Roman"/>
          <w:b/>
          <w:lang w:val="en-US"/>
        </w:rPr>
        <w:t>Omena</w:t>
      </w:r>
      <w:proofErr w:type="spellEnd"/>
      <w:r w:rsidRPr="006309A6">
        <w:rPr>
          <w:rFonts w:cs="Times New Roman"/>
          <w:b/>
          <w:lang w:val="en-US"/>
        </w:rPr>
        <w:t xml:space="preserve"> de </w:t>
      </w:r>
      <w:proofErr w:type="spellStart"/>
      <w:r w:rsidRPr="006309A6">
        <w:rPr>
          <w:rFonts w:cs="Times New Roman"/>
          <w:b/>
          <w:lang w:val="en-US"/>
        </w:rPr>
        <w:t>Melo</w:t>
      </w:r>
      <w:proofErr w:type="spellEnd"/>
      <w:r w:rsidRPr="006309A6">
        <w:rPr>
          <w:rFonts w:cs="Times New Roman"/>
          <w:b/>
          <w:lang w:val="en-US"/>
        </w:rPr>
        <w:t xml:space="preserve"> (PhD Researcher, School of the Built Environment, Oxford Brookes University).</w:t>
      </w:r>
    </w:p>
    <w:p w:rsidR="00FC6843" w:rsidRPr="006309A6" w:rsidRDefault="00FC6843"/>
    <w:p w:rsidR="000B2B36" w:rsidRPr="006309A6" w:rsidRDefault="004D229F" w:rsidP="000B2B36">
      <w:r w:rsidRPr="006309A6">
        <w:t>Legacy has risen up the Olympic agenda in the 21st century as a rationale for hosting the Games and for the spatial transformations of cities that have accompanied this.</w:t>
      </w:r>
      <w:r w:rsidR="00777157" w:rsidRPr="006309A6">
        <w:t xml:space="preserve"> In particular the ‘urban legacy’ of Olympic city building has been evident in host cities influenced by global policy </w:t>
      </w:r>
      <w:r w:rsidR="00C56E62" w:rsidRPr="006309A6">
        <w:t>models such</w:t>
      </w:r>
      <w:r w:rsidR="00777157" w:rsidRPr="006309A6">
        <w:t xml:space="preserve"> </w:t>
      </w:r>
      <w:r w:rsidR="00C56E62" w:rsidRPr="006309A6">
        <w:t>as the</w:t>
      </w:r>
      <w:r w:rsidR="00777157" w:rsidRPr="006309A6">
        <w:t xml:space="preserve"> 1992 Barcelona games. F</w:t>
      </w:r>
      <w:r w:rsidR="00C54BD4" w:rsidRPr="006309A6">
        <w:t xml:space="preserve">rom 2003 </w:t>
      </w:r>
      <w:r w:rsidR="00777157" w:rsidRPr="006309A6">
        <w:t xml:space="preserve">‘promoting a positive legacy’ was </w:t>
      </w:r>
      <w:r w:rsidR="00C54BD4" w:rsidRPr="006309A6">
        <w:t>added to</w:t>
      </w:r>
      <w:r w:rsidR="00777157" w:rsidRPr="006309A6">
        <w:t xml:space="preserve"> the</w:t>
      </w:r>
      <w:r w:rsidR="00C54BD4" w:rsidRPr="006309A6">
        <w:t xml:space="preserve"> IOC Charter and </w:t>
      </w:r>
      <w:r w:rsidR="00777157" w:rsidRPr="006309A6">
        <w:t>became a criterion</w:t>
      </w:r>
      <w:r w:rsidR="00C54BD4" w:rsidRPr="006309A6">
        <w:t xml:space="preserve"> in assessing bids. </w:t>
      </w:r>
      <w:r w:rsidRPr="006309A6">
        <w:t xml:space="preserve"> Yet there is no agreed definition</w:t>
      </w:r>
      <w:r w:rsidR="00C54BD4" w:rsidRPr="006309A6">
        <w:t xml:space="preserve"> of legacy and it</w:t>
      </w:r>
      <w:r w:rsidRPr="006309A6">
        <w:t xml:space="preserve"> is therefore a complex and contested </w:t>
      </w:r>
      <w:r w:rsidR="00C54BD4" w:rsidRPr="006309A6">
        <w:t xml:space="preserve">concept open to many different interpretations and the subject of political debate and action over its conceptualisation and realisation. </w:t>
      </w:r>
    </w:p>
    <w:p w:rsidR="006309A6" w:rsidRDefault="00C54BD4" w:rsidP="006309A6">
      <w:r w:rsidRPr="006309A6">
        <w:t>Equally contested is how legacy is to be interpreted and understood. While some academic accounts have been geared to how to ac</w:t>
      </w:r>
      <w:r w:rsidR="000B2B36" w:rsidRPr="006309A6">
        <w:t xml:space="preserve">hieve legacy within normative </w:t>
      </w:r>
      <w:r w:rsidRPr="006309A6">
        <w:t>policy discourse</w:t>
      </w:r>
      <w:r w:rsidR="000B2B36" w:rsidRPr="006309A6">
        <w:t>s</w:t>
      </w:r>
      <w:r w:rsidRPr="006309A6">
        <w:t xml:space="preserve"> (se</w:t>
      </w:r>
      <w:r w:rsidR="00152551">
        <w:t xml:space="preserve">e for example Davies, 2012; </w:t>
      </w:r>
      <w:proofErr w:type="spellStart"/>
      <w:r w:rsidR="00152551">
        <w:t>LERI</w:t>
      </w:r>
      <w:proofErr w:type="spellEnd"/>
      <w:r w:rsidR="00152551">
        <w:t>,</w:t>
      </w:r>
      <w:r w:rsidRPr="006309A6">
        <w:t xml:space="preserve"> 2007) others have taken a much more critical stance focusing on the displacement and lost alternatives that constitute the ‘dark side’ of legacy (Thornley, 2012</w:t>
      </w:r>
      <w:r w:rsidR="00152551">
        <w:t xml:space="preserve">; </w:t>
      </w:r>
      <w:proofErr w:type="spellStart"/>
      <w:r w:rsidR="00152551">
        <w:t>Broudehoux</w:t>
      </w:r>
      <w:proofErr w:type="spellEnd"/>
      <w:r w:rsidR="00152551">
        <w:t xml:space="preserve"> and Sanchez,  2013</w:t>
      </w:r>
      <w:r w:rsidRPr="006309A6">
        <w:t xml:space="preserve">). This is often accompanied by a theoretical understanding which sees mega-events and their urban transformations as manifestations of neo-liberal urbanisation, entrepreneurial governance and the entrenchment of socio-spatial polarisation.  </w:t>
      </w:r>
      <w:r w:rsidR="00777157" w:rsidRPr="006309A6">
        <w:t xml:space="preserve"> </w:t>
      </w:r>
      <w:r w:rsidR="00C56E62" w:rsidRPr="006309A6">
        <w:t>Following Hardy</w:t>
      </w:r>
      <w:r w:rsidR="00152551">
        <w:t xml:space="preserve"> (1999)</w:t>
      </w:r>
      <w:r w:rsidR="002900EE" w:rsidRPr="006309A6">
        <w:t>,</w:t>
      </w:r>
      <w:r w:rsidR="00777157" w:rsidRPr="006309A6">
        <w:t xml:space="preserve"> m</w:t>
      </w:r>
      <w:r w:rsidRPr="006309A6">
        <w:t xml:space="preserve">ega-events and their legacies are the </w:t>
      </w:r>
      <w:r w:rsidR="00777157" w:rsidRPr="006309A6">
        <w:t>‘</w:t>
      </w:r>
      <w:r w:rsidRPr="006309A6">
        <w:t>carnival mask</w:t>
      </w:r>
      <w:r w:rsidR="00777157" w:rsidRPr="006309A6">
        <w:t>’</w:t>
      </w:r>
      <w:r w:rsidRPr="006309A6">
        <w:t xml:space="preserve"> or ‘circuses’ (de Souza, 2012) which act to soften and hide these unequal</w:t>
      </w:r>
      <w:r w:rsidR="00D10286" w:rsidRPr="006309A6">
        <w:t xml:space="preserve"> processes. Depicting the spread of  Olympic city-building </w:t>
      </w:r>
      <w:r w:rsidRPr="006309A6">
        <w:t>as a result of the top-down transfer of a universal urban policy has become common (Gibbons and Wolff, 2012b).</w:t>
      </w:r>
    </w:p>
    <w:p w:rsidR="00C54BD4" w:rsidRPr="006309A6" w:rsidRDefault="00C54BD4" w:rsidP="000B2B36">
      <w:r w:rsidRPr="006309A6">
        <w:t xml:space="preserve"> </w:t>
      </w:r>
      <w:r w:rsidR="002900EE" w:rsidRPr="006309A6">
        <w:t xml:space="preserve">The need to </w:t>
      </w:r>
      <w:r w:rsidR="00C56E62" w:rsidRPr="006309A6">
        <w:t>avoid a</w:t>
      </w:r>
      <w:r w:rsidR="002900EE" w:rsidRPr="006309A6">
        <w:t xml:space="preserve"> deterministic and mono-causal view of neo-</w:t>
      </w:r>
      <w:r w:rsidR="00C56E62" w:rsidRPr="006309A6">
        <w:t>liberalism which</w:t>
      </w:r>
      <w:r w:rsidR="00D10286" w:rsidRPr="006309A6">
        <w:t xml:space="preserve"> </w:t>
      </w:r>
      <w:r w:rsidR="00C56E62" w:rsidRPr="006309A6">
        <w:t>forecloses</w:t>
      </w:r>
      <w:r w:rsidR="00D10286" w:rsidRPr="006309A6">
        <w:t xml:space="preserve"> possibilities for alternatives is</w:t>
      </w:r>
      <w:r w:rsidR="002900EE" w:rsidRPr="006309A6">
        <w:t xml:space="preserve"> well </w:t>
      </w:r>
      <w:r w:rsidR="00C56E62" w:rsidRPr="006309A6">
        <w:t>rehearsed in</w:t>
      </w:r>
      <w:r w:rsidR="00D10286" w:rsidRPr="006309A6">
        <w:t xml:space="preserve"> </w:t>
      </w:r>
      <w:r w:rsidR="002900EE" w:rsidRPr="006309A6">
        <w:t>the literature</w:t>
      </w:r>
      <w:r w:rsidR="006309A6">
        <w:t xml:space="preserve"> (see for example</w:t>
      </w:r>
      <w:r w:rsidR="006309A6" w:rsidRPr="006309A6">
        <w:rPr>
          <w:color w:val="000000" w:themeColor="text1"/>
        </w:rPr>
        <w:t xml:space="preserve"> Peck  J and Theodore N (2010) </w:t>
      </w:r>
      <w:r w:rsidR="00D10286" w:rsidRPr="006309A6">
        <w:t xml:space="preserve">along with the need </w:t>
      </w:r>
      <w:r w:rsidR="009143C6" w:rsidRPr="006309A6">
        <w:t xml:space="preserve"> to build understandings of urban processes from a  wider range of cities than the post-industrial north (Parnell and Robinson, 2012).  </w:t>
      </w:r>
      <w:r w:rsidR="002900EE" w:rsidRPr="006309A6">
        <w:t>More recently work has begun t</w:t>
      </w:r>
      <w:r w:rsidR="009143C6" w:rsidRPr="006309A6">
        <w:t>o</w:t>
      </w:r>
      <w:r w:rsidR="002900EE" w:rsidRPr="006309A6">
        <w:t xml:space="preserve"> explore the contribution that thinking with assemblage can bring to these debates </w:t>
      </w:r>
      <w:r w:rsidR="00C56E62" w:rsidRPr="006309A6">
        <w:t>(Brownill</w:t>
      </w:r>
      <w:r w:rsidR="002900EE" w:rsidRPr="006309A6">
        <w:t xml:space="preserve"> et al</w:t>
      </w:r>
      <w:r w:rsidR="006309A6">
        <w:t xml:space="preserve"> 2013</w:t>
      </w:r>
      <w:r w:rsidR="002900EE" w:rsidRPr="006309A6">
        <w:t>, McCann and Ward</w:t>
      </w:r>
      <w:r w:rsidR="006309A6">
        <w:t>, 2011</w:t>
      </w:r>
      <w:r w:rsidR="002900EE" w:rsidRPr="006309A6">
        <w:t>)</w:t>
      </w:r>
      <w:r w:rsidR="009143C6" w:rsidRPr="006309A6">
        <w:t xml:space="preserve"> focusing on how a concept such as legacy is made through the bringing together </w:t>
      </w:r>
      <w:r w:rsidR="00C56E62" w:rsidRPr="006309A6">
        <w:t>of ideas</w:t>
      </w:r>
      <w:r w:rsidR="009143C6" w:rsidRPr="006309A6">
        <w:t xml:space="preserve">, actors, projects, governance </w:t>
      </w:r>
      <w:r w:rsidR="00C56E62" w:rsidRPr="006309A6">
        <w:t>models etc.</w:t>
      </w:r>
      <w:r w:rsidR="009143C6" w:rsidRPr="006309A6">
        <w:t xml:space="preserve">  ‘</w:t>
      </w:r>
      <w:proofErr w:type="gramStart"/>
      <w:r w:rsidR="009143C6" w:rsidRPr="006309A6">
        <w:rPr>
          <w:rFonts w:cs="Calibri"/>
          <w:lang w:val="en-US"/>
        </w:rPr>
        <w:t>into</w:t>
      </w:r>
      <w:proofErr w:type="gramEnd"/>
      <w:r w:rsidR="009143C6" w:rsidRPr="006309A6">
        <w:rPr>
          <w:rFonts w:cs="Calibri"/>
          <w:lang w:val="en-US"/>
        </w:rPr>
        <w:t xml:space="preserve"> some form of provisional socio-spatial formation’ (Anderson and MacFarlane, 2011 p124). </w:t>
      </w:r>
      <w:r w:rsidR="00403634" w:rsidRPr="006309A6">
        <w:rPr>
          <w:rFonts w:cs="Calibri"/>
          <w:lang w:val="en-US"/>
        </w:rPr>
        <w:t xml:space="preserve">Assemblage refers not just to the form of projects but </w:t>
      </w:r>
      <w:r w:rsidR="009143C6" w:rsidRPr="006309A6">
        <w:rPr>
          <w:rFonts w:cs="Calibri"/>
          <w:lang w:val="en-US"/>
        </w:rPr>
        <w:t xml:space="preserve">the strategies of assemblage </w:t>
      </w:r>
      <w:r w:rsidR="00D10286" w:rsidRPr="006309A6">
        <w:rPr>
          <w:rFonts w:cs="Calibri"/>
          <w:lang w:val="en-US"/>
        </w:rPr>
        <w:t xml:space="preserve">aimed at </w:t>
      </w:r>
      <w:r w:rsidR="009143C6" w:rsidRPr="006309A6">
        <w:rPr>
          <w:rFonts w:cs="Calibri"/>
          <w:lang w:val="en-US"/>
        </w:rPr>
        <w:t>holding together these diverse</w:t>
      </w:r>
      <w:r w:rsidR="00D10286" w:rsidRPr="006309A6">
        <w:rPr>
          <w:rFonts w:cs="Calibri"/>
          <w:lang w:val="en-US"/>
        </w:rPr>
        <w:t xml:space="preserve"> elements</w:t>
      </w:r>
      <w:r w:rsidR="00403634" w:rsidRPr="006309A6">
        <w:rPr>
          <w:rFonts w:cs="Calibri"/>
          <w:lang w:val="en-US"/>
        </w:rPr>
        <w:t xml:space="preserve">. It affords the possibility that within these contradictory </w:t>
      </w:r>
      <w:r w:rsidR="00C56E62" w:rsidRPr="006309A6">
        <w:rPr>
          <w:rFonts w:cs="Calibri"/>
          <w:lang w:val="en-US"/>
        </w:rPr>
        <w:t>and</w:t>
      </w:r>
      <w:r w:rsidR="00152551">
        <w:rPr>
          <w:rFonts w:cs="Calibri"/>
          <w:lang w:val="en-US"/>
        </w:rPr>
        <w:t xml:space="preserve"> contested processes </w:t>
      </w:r>
      <w:r w:rsidR="00403634" w:rsidRPr="006309A6">
        <w:rPr>
          <w:rFonts w:cs="Calibri"/>
          <w:lang w:val="en-US"/>
        </w:rPr>
        <w:t xml:space="preserve">spaces </w:t>
      </w:r>
      <w:r w:rsidR="00C56E62" w:rsidRPr="006309A6">
        <w:rPr>
          <w:rFonts w:cs="Arial"/>
        </w:rPr>
        <w:t>may therefore</w:t>
      </w:r>
      <w:r w:rsidR="00D10286" w:rsidRPr="006309A6">
        <w:rPr>
          <w:rFonts w:cs="Arial"/>
        </w:rPr>
        <w:t xml:space="preserve"> </w:t>
      </w:r>
      <w:r w:rsidR="009143C6" w:rsidRPr="006309A6">
        <w:rPr>
          <w:rFonts w:cs="Arial"/>
        </w:rPr>
        <w:t>be opened for</w:t>
      </w:r>
      <w:r w:rsidR="00152551">
        <w:rPr>
          <w:rFonts w:cs="Arial"/>
        </w:rPr>
        <w:t xml:space="preserve"> </w:t>
      </w:r>
      <w:proofErr w:type="gramStart"/>
      <w:r w:rsidR="00152551">
        <w:rPr>
          <w:rFonts w:cs="Arial"/>
        </w:rPr>
        <w:t xml:space="preserve">alternatives </w:t>
      </w:r>
      <w:r w:rsidR="00C56E62" w:rsidRPr="006309A6">
        <w:rPr>
          <w:rFonts w:cs="Calibri"/>
          <w:lang w:val="en-US"/>
        </w:rPr>
        <w:t>.</w:t>
      </w:r>
      <w:proofErr w:type="gramEnd"/>
      <w:r w:rsidR="00D10286" w:rsidRPr="006309A6">
        <w:t xml:space="preserve"> </w:t>
      </w:r>
      <w:r w:rsidR="00403634" w:rsidRPr="006309A6">
        <w:t xml:space="preserve"> Yet assemblage has been criticised for moving from criticism to description and </w:t>
      </w:r>
      <w:r w:rsidR="00C56E62" w:rsidRPr="006309A6">
        <w:t xml:space="preserve">for potentially over-emphasising the </w:t>
      </w:r>
      <w:r w:rsidR="00152551">
        <w:t xml:space="preserve">possibilities for reassembling space (Brenner et al 2011). </w:t>
      </w:r>
      <w:r w:rsidR="00403634" w:rsidRPr="006309A6">
        <w:t xml:space="preserve"> </w:t>
      </w:r>
      <w:r w:rsidR="00D10286" w:rsidRPr="006309A6">
        <w:t>This paper</w:t>
      </w:r>
      <w:r w:rsidR="00C56E62" w:rsidRPr="006309A6">
        <w:t xml:space="preserve"> therefore</w:t>
      </w:r>
      <w:r w:rsidR="00D10286" w:rsidRPr="006309A6">
        <w:t xml:space="preserve"> explores the possible contribution </w:t>
      </w:r>
      <w:r w:rsidR="002900EE" w:rsidRPr="006309A6">
        <w:t>a</w:t>
      </w:r>
      <w:r w:rsidR="00D10286" w:rsidRPr="006309A6">
        <w:t xml:space="preserve">n </w:t>
      </w:r>
      <w:r w:rsidR="002900EE" w:rsidRPr="006309A6">
        <w:t xml:space="preserve">urban assemblage framework </w:t>
      </w:r>
      <w:r w:rsidR="002900EE" w:rsidRPr="006309A6">
        <w:lastRenderedPageBreak/>
        <w:t>can make to build a more nuanced but still critical lens through which to review mega-event legacies</w:t>
      </w:r>
      <w:r w:rsidRPr="006309A6">
        <w:t xml:space="preserve">. </w:t>
      </w:r>
    </w:p>
    <w:p w:rsidR="004D229F" w:rsidRPr="006309A6" w:rsidRDefault="00D10286" w:rsidP="004D229F">
      <w:pPr>
        <w:spacing w:line="240" w:lineRule="auto"/>
        <w:rPr>
          <w:rFonts w:cs="Calibri"/>
          <w:lang w:val="en-US"/>
        </w:rPr>
      </w:pPr>
      <w:r w:rsidRPr="006309A6">
        <w:t>Drawing on discourse analysis of secondary documents and interviews with key stakeholders t</w:t>
      </w:r>
      <w:r w:rsidR="00DE7482">
        <w:t>his paper explores the</w:t>
      </w:r>
      <w:bookmarkStart w:id="0" w:name="_GoBack"/>
      <w:bookmarkEnd w:id="0"/>
      <w:r w:rsidR="004D229F" w:rsidRPr="006309A6">
        <w:t>se debates by analysing how legacy has been made and remade in</w:t>
      </w:r>
      <w:r w:rsidR="00C54BD4" w:rsidRPr="006309A6">
        <w:t xml:space="preserve"> </w:t>
      </w:r>
      <w:r w:rsidR="004D229F" w:rsidRPr="006309A6">
        <w:t xml:space="preserve">two cities; London and </w:t>
      </w:r>
      <w:r w:rsidR="00C56E62" w:rsidRPr="006309A6">
        <w:t>Rio</w:t>
      </w:r>
      <w:r w:rsidR="00C56E62" w:rsidRPr="006309A6">
        <w:rPr>
          <w:rFonts w:cs="Calibri"/>
          <w:lang w:val="en-US"/>
        </w:rPr>
        <w:t xml:space="preserve">. </w:t>
      </w:r>
      <w:r w:rsidRPr="006309A6">
        <w:rPr>
          <w:rFonts w:cs="Calibri"/>
          <w:lang w:val="en-US"/>
        </w:rPr>
        <w:t xml:space="preserve">It focuses </w:t>
      </w:r>
      <w:r w:rsidR="00C56E62" w:rsidRPr="006309A6">
        <w:rPr>
          <w:rFonts w:cs="Calibri"/>
          <w:lang w:val="en-US"/>
        </w:rPr>
        <w:t>on the</w:t>
      </w:r>
      <w:r w:rsidRPr="006309A6">
        <w:rPr>
          <w:rFonts w:cs="Calibri"/>
          <w:lang w:val="en-US"/>
        </w:rPr>
        <w:t xml:space="preserve"> </w:t>
      </w:r>
      <w:r w:rsidR="00C54BD4" w:rsidRPr="006309A6">
        <w:rPr>
          <w:rFonts w:cs="Calibri"/>
          <w:lang w:val="en-US"/>
        </w:rPr>
        <w:t xml:space="preserve">spatial practices </w:t>
      </w:r>
      <w:r w:rsidR="00C56E62" w:rsidRPr="006309A6">
        <w:rPr>
          <w:rFonts w:cs="Calibri"/>
          <w:lang w:val="en-US"/>
        </w:rPr>
        <w:t>of legacy</w:t>
      </w:r>
      <w:r w:rsidRPr="006309A6">
        <w:rPr>
          <w:rFonts w:cs="Calibri"/>
          <w:lang w:val="en-US"/>
        </w:rPr>
        <w:t xml:space="preserve"> (masterplans and frame</w:t>
      </w:r>
      <w:r w:rsidR="00C54BD4" w:rsidRPr="006309A6">
        <w:rPr>
          <w:rFonts w:cs="Calibri"/>
          <w:lang w:val="en-US"/>
        </w:rPr>
        <w:t>w</w:t>
      </w:r>
      <w:r w:rsidRPr="006309A6">
        <w:rPr>
          <w:rFonts w:cs="Calibri"/>
          <w:lang w:val="en-US"/>
        </w:rPr>
        <w:t>o</w:t>
      </w:r>
      <w:r w:rsidR="00C54BD4" w:rsidRPr="006309A6">
        <w:rPr>
          <w:rFonts w:cs="Calibri"/>
          <w:lang w:val="en-US"/>
        </w:rPr>
        <w:t>rks, and stadia and other major projects) and their governance</w:t>
      </w:r>
      <w:r w:rsidR="004D229F" w:rsidRPr="006309A6">
        <w:t>.</w:t>
      </w:r>
      <w:r w:rsidR="00C54BD4" w:rsidRPr="006309A6">
        <w:t xml:space="preserve"> </w:t>
      </w:r>
      <w:r w:rsidRPr="006309A6">
        <w:rPr>
          <w:rFonts w:cs="Calibri"/>
          <w:lang w:val="en-US"/>
        </w:rPr>
        <w:t>I</w:t>
      </w:r>
      <w:r w:rsidR="004D229F" w:rsidRPr="006309A6">
        <w:rPr>
          <w:rFonts w:cs="Calibri"/>
          <w:lang w:val="en-US"/>
        </w:rPr>
        <w:t xml:space="preserve">t reveals </w:t>
      </w:r>
      <w:r w:rsidRPr="006309A6">
        <w:rPr>
          <w:rFonts w:cs="Calibri"/>
          <w:lang w:val="en-US"/>
        </w:rPr>
        <w:t xml:space="preserve">the </w:t>
      </w:r>
      <w:r w:rsidR="00C54BD4" w:rsidRPr="006309A6">
        <w:rPr>
          <w:rFonts w:cs="Calibri"/>
          <w:lang w:val="en-US"/>
        </w:rPr>
        <w:t>different narratives of legacy that have evolved and clashed over time, how the contradictions between these have been held together by complex and shifting governance arrangements and how this remodeling has been made real through a variety of spatial practices of assembly</w:t>
      </w:r>
      <w:r w:rsidR="00403634" w:rsidRPr="006309A6">
        <w:rPr>
          <w:rFonts w:cs="Calibri"/>
          <w:lang w:val="en-US"/>
        </w:rPr>
        <w:t xml:space="preserve">. It </w:t>
      </w:r>
      <w:r w:rsidR="00C54BD4" w:rsidRPr="006309A6">
        <w:rPr>
          <w:rFonts w:cs="Calibri"/>
          <w:lang w:val="en-US"/>
        </w:rPr>
        <w:t xml:space="preserve">also </w:t>
      </w:r>
      <w:r w:rsidRPr="006309A6">
        <w:rPr>
          <w:rFonts w:cs="Calibri"/>
          <w:lang w:val="en-US"/>
        </w:rPr>
        <w:t xml:space="preserve">critically explores whether in </w:t>
      </w:r>
      <w:r w:rsidR="00C56E62" w:rsidRPr="006309A6">
        <w:rPr>
          <w:rFonts w:cs="Calibri"/>
          <w:lang w:val="en-US"/>
        </w:rPr>
        <w:t>these contingent</w:t>
      </w:r>
      <w:r w:rsidR="00C54BD4" w:rsidRPr="006309A6">
        <w:rPr>
          <w:rFonts w:cs="Calibri"/>
          <w:lang w:val="en-US"/>
        </w:rPr>
        <w:t xml:space="preserve"> and shifting process spaces exist which can be opened up to explore alternatives</w:t>
      </w:r>
      <w:r w:rsidR="000B2B36" w:rsidRPr="006309A6">
        <w:rPr>
          <w:rFonts w:cs="Calibri"/>
          <w:lang w:val="en-US"/>
        </w:rPr>
        <w:t>.</w:t>
      </w:r>
    </w:p>
    <w:p w:rsidR="004D229F" w:rsidRPr="006309A6" w:rsidRDefault="00D10286" w:rsidP="004D229F">
      <w:pPr>
        <w:pStyle w:val="NormalWeb"/>
        <w:rPr>
          <w:rFonts w:asciiTheme="minorHAnsi" w:hAnsiTheme="minorHAnsi" w:cs="Calibri"/>
          <w:sz w:val="22"/>
          <w:szCs w:val="22"/>
          <w:lang w:val="en-US"/>
        </w:rPr>
      </w:pPr>
      <w:r w:rsidRPr="006309A6">
        <w:rPr>
          <w:rFonts w:asciiTheme="minorHAnsi" w:hAnsiTheme="minorHAnsi"/>
          <w:sz w:val="22"/>
          <w:szCs w:val="22"/>
        </w:rPr>
        <w:t xml:space="preserve">The </w:t>
      </w:r>
      <w:r w:rsidR="000B2B36" w:rsidRPr="006309A6">
        <w:rPr>
          <w:rFonts w:asciiTheme="minorHAnsi" w:hAnsiTheme="minorHAnsi"/>
          <w:sz w:val="22"/>
          <w:szCs w:val="22"/>
        </w:rPr>
        <w:t>p</w:t>
      </w:r>
      <w:r w:rsidRPr="006309A6">
        <w:rPr>
          <w:rFonts w:asciiTheme="minorHAnsi" w:hAnsiTheme="minorHAnsi"/>
          <w:sz w:val="22"/>
          <w:szCs w:val="22"/>
        </w:rPr>
        <w:t>a</w:t>
      </w:r>
      <w:r w:rsidR="000B2B36" w:rsidRPr="006309A6">
        <w:rPr>
          <w:rFonts w:asciiTheme="minorHAnsi" w:hAnsiTheme="minorHAnsi"/>
          <w:sz w:val="22"/>
          <w:szCs w:val="22"/>
        </w:rPr>
        <w:t xml:space="preserve">per concludes </w:t>
      </w:r>
      <w:r w:rsidR="00C56E62" w:rsidRPr="006309A6">
        <w:rPr>
          <w:rFonts w:asciiTheme="minorHAnsi" w:hAnsiTheme="minorHAnsi"/>
          <w:sz w:val="22"/>
          <w:szCs w:val="22"/>
        </w:rPr>
        <w:t xml:space="preserve">by discussing how thinking </w:t>
      </w:r>
      <w:r w:rsidR="004D229F" w:rsidRPr="006309A6">
        <w:rPr>
          <w:rFonts w:asciiTheme="minorHAnsi" w:hAnsiTheme="minorHAnsi" w:cs="Calibri"/>
          <w:sz w:val="22"/>
          <w:szCs w:val="22"/>
          <w:lang w:val="en-US"/>
        </w:rPr>
        <w:t xml:space="preserve">critically with assemblage can be a useful tool in understanding the complexities and nuances in what is happening on the ground without losing sight of wider relations of space and power.  </w:t>
      </w:r>
    </w:p>
    <w:p w:rsidR="006309A6" w:rsidRPr="00152551" w:rsidRDefault="006309A6">
      <w:pPr>
        <w:rPr>
          <w:b/>
        </w:rPr>
      </w:pPr>
      <w:r w:rsidRPr="00152551">
        <w:rPr>
          <w:b/>
        </w:rPr>
        <w:t>References</w:t>
      </w:r>
    </w:p>
    <w:p w:rsidR="00C56E62" w:rsidRPr="006309A6" w:rsidRDefault="00C56E62" w:rsidP="00C56E62">
      <w:pPr>
        <w:rPr>
          <w:rFonts w:eastAsia="Calibri" w:cs="Arial"/>
        </w:rPr>
      </w:pPr>
      <w:r w:rsidRPr="006309A6">
        <w:rPr>
          <w:rFonts w:eastAsia="Calibri" w:cs="Arial"/>
        </w:rPr>
        <w:t xml:space="preserve">Anderson, B. and McFarlane, C (2011)   Assemblage and geography   </w:t>
      </w:r>
      <w:r w:rsidRPr="006309A6">
        <w:rPr>
          <w:rFonts w:eastAsia="Calibri" w:cs="Arial"/>
          <w:i/>
        </w:rPr>
        <w:t>Area</w:t>
      </w:r>
      <w:r w:rsidRPr="006309A6">
        <w:rPr>
          <w:rFonts w:eastAsia="Calibri" w:cs="Arial"/>
        </w:rPr>
        <w:t xml:space="preserve"> 42 (2): 124-127</w:t>
      </w:r>
    </w:p>
    <w:p w:rsidR="00C56E62" w:rsidRPr="006309A6" w:rsidRDefault="00C56E62" w:rsidP="00C56E62">
      <w:pPr>
        <w:autoSpaceDE w:val="0"/>
        <w:autoSpaceDN w:val="0"/>
        <w:adjustRightInd w:val="0"/>
        <w:spacing w:after="0" w:line="240" w:lineRule="auto"/>
        <w:rPr>
          <w:rFonts w:cs="Trebuchet MS"/>
        </w:rPr>
      </w:pPr>
      <w:r w:rsidRPr="006309A6">
        <w:rPr>
          <w:rFonts w:cs="Trebuchet MS"/>
        </w:rPr>
        <w:t>Brenner N</w:t>
      </w:r>
      <w:proofErr w:type="gramStart"/>
      <w:r w:rsidRPr="006309A6">
        <w:rPr>
          <w:rFonts w:cs="Trebuchet MS"/>
        </w:rPr>
        <w:t>,  Madden</w:t>
      </w:r>
      <w:proofErr w:type="gramEnd"/>
      <w:r w:rsidRPr="006309A6">
        <w:rPr>
          <w:rFonts w:cs="Trebuchet MS"/>
        </w:rPr>
        <w:t xml:space="preserve"> D &amp; </w:t>
      </w:r>
      <w:proofErr w:type="spellStart"/>
      <w:r w:rsidRPr="006309A6">
        <w:rPr>
          <w:rFonts w:cs="Trebuchet MS"/>
        </w:rPr>
        <w:t>Wachsmuth</w:t>
      </w:r>
      <w:proofErr w:type="spellEnd"/>
      <w:r w:rsidRPr="006309A6">
        <w:rPr>
          <w:rFonts w:cs="Trebuchet MS"/>
        </w:rPr>
        <w:t xml:space="preserve"> D (2011): Assemblage urbanism and the challenges of critical urban theory, City: analysis of urban trends, culture, theory, policy, action, 15:2, 225-240</w:t>
      </w:r>
    </w:p>
    <w:p w:rsidR="006309A6" w:rsidRPr="006309A6" w:rsidRDefault="006309A6" w:rsidP="00C56E62">
      <w:pPr>
        <w:autoSpaceDE w:val="0"/>
        <w:autoSpaceDN w:val="0"/>
        <w:adjustRightInd w:val="0"/>
        <w:spacing w:after="0" w:line="240" w:lineRule="auto"/>
        <w:rPr>
          <w:rFonts w:eastAsia="Calibri" w:cs="Arial"/>
        </w:rPr>
      </w:pPr>
    </w:p>
    <w:p w:rsidR="00152551" w:rsidRDefault="00152551" w:rsidP="00152551">
      <w:proofErr w:type="spellStart"/>
      <w:r>
        <w:t>Broudehoux</w:t>
      </w:r>
      <w:proofErr w:type="spellEnd"/>
      <w:r>
        <w:t xml:space="preserve"> A and </w:t>
      </w:r>
      <w:proofErr w:type="spellStart"/>
      <w:r>
        <w:t>Sanchex</w:t>
      </w:r>
      <w:proofErr w:type="spellEnd"/>
      <w:r>
        <w:t xml:space="preserve"> F (2013) </w:t>
      </w:r>
      <w:r w:rsidRPr="00C46A1D">
        <w:rPr>
          <w:sz w:val="24"/>
          <w:szCs w:val="24"/>
        </w:rPr>
        <w:t>Mega-events and Urban Regeneration in Rio de Janeiro: Planning in A State of Emergency</w:t>
      </w:r>
      <w:proofErr w:type="gramStart"/>
      <w:r w:rsidRPr="00C46A1D">
        <w:rPr>
          <w:sz w:val="24"/>
          <w:szCs w:val="24"/>
        </w:rPr>
        <w:t>,</w:t>
      </w:r>
      <w:r w:rsidRPr="00152551">
        <w:rPr>
          <w:rFonts w:cs="Arial"/>
        </w:rPr>
        <w:t xml:space="preserve"> </w:t>
      </w:r>
      <w:r w:rsidRPr="006309A6">
        <w:rPr>
          <w:rFonts w:cs="Arial"/>
        </w:rPr>
        <w:t>,</w:t>
      </w:r>
      <w:proofErr w:type="gramEnd"/>
      <w:r w:rsidRPr="006309A6">
        <w:rPr>
          <w:rFonts w:cs="Arial"/>
        </w:rPr>
        <w:t xml:space="preserve"> </w:t>
      </w:r>
      <w:r w:rsidRPr="006309A6">
        <w:rPr>
          <w:rFonts w:cs="Arial"/>
          <w:i/>
        </w:rPr>
        <w:t xml:space="preserve">International Journal of Sustainable Development </w:t>
      </w:r>
      <w:r w:rsidRPr="006309A6">
        <w:rPr>
          <w:rFonts w:cs="Arial"/>
        </w:rPr>
        <w:t xml:space="preserve">5(2) </w:t>
      </w:r>
      <w:r>
        <w:rPr>
          <w:rFonts w:cs="Arial"/>
        </w:rPr>
        <w:t>132-149</w:t>
      </w:r>
      <w:r w:rsidRPr="00C46A1D">
        <w:rPr>
          <w:sz w:val="24"/>
          <w:szCs w:val="24"/>
        </w:rPr>
        <w:t xml:space="preserve"> </w:t>
      </w:r>
    </w:p>
    <w:p w:rsidR="00152551" w:rsidRDefault="006309A6" w:rsidP="006309A6">
      <w:pPr>
        <w:ind w:right="-154"/>
        <w:rPr>
          <w:rFonts w:cs="Arial"/>
        </w:rPr>
      </w:pPr>
      <w:proofErr w:type="gramStart"/>
      <w:r w:rsidRPr="006309A6">
        <w:rPr>
          <w:rFonts w:cs="Arial"/>
        </w:rPr>
        <w:t xml:space="preserve">Brownill, S., </w:t>
      </w:r>
      <w:proofErr w:type="spellStart"/>
      <w:r w:rsidRPr="006309A6">
        <w:rPr>
          <w:rFonts w:cs="Arial"/>
        </w:rPr>
        <w:t>Keivani</w:t>
      </w:r>
      <w:proofErr w:type="spellEnd"/>
      <w:r w:rsidRPr="006309A6">
        <w:rPr>
          <w:rFonts w:cs="Arial"/>
        </w:rPr>
        <w:t>, R. and Pereira, G., (2013), ‘Beyond the Carnival Mask?</w:t>
      </w:r>
      <w:proofErr w:type="gramEnd"/>
      <w:r w:rsidRPr="006309A6">
        <w:rPr>
          <w:rFonts w:cs="Arial"/>
        </w:rPr>
        <w:t xml:space="preserve"> Olympic Legacies in London and Rio’, </w:t>
      </w:r>
      <w:r w:rsidRPr="006309A6">
        <w:rPr>
          <w:rFonts w:cs="Arial"/>
          <w:i/>
        </w:rPr>
        <w:t xml:space="preserve">International Journal of Sustainable Development </w:t>
      </w:r>
      <w:r w:rsidRPr="006309A6">
        <w:rPr>
          <w:rFonts w:cs="Arial"/>
        </w:rPr>
        <w:t>5(2) 111-131.</w:t>
      </w:r>
    </w:p>
    <w:p w:rsidR="006309A6" w:rsidRPr="006309A6" w:rsidRDefault="006309A6" w:rsidP="006309A6">
      <w:pPr>
        <w:ind w:right="-154"/>
        <w:rPr>
          <w:rFonts w:cs="Arial"/>
          <w:i/>
          <w:color w:val="000000"/>
        </w:rPr>
      </w:pPr>
      <w:r w:rsidRPr="006309A6">
        <w:rPr>
          <w:rFonts w:cs="Arial"/>
          <w:color w:val="000000"/>
        </w:rPr>
        <w:t xml:space="preserve">Davies, L. (2012) </w:t>
      </w:r>
      <w:proofErr w:type="gramStart"/>
      <w:r w:rsidRPr="006309A6">
        <w:rPr>
          <w:rFonts w:cs="Arial"/>
          <w:color w:val="000000"/>
        </w:rPr>
        <w:t>Beyond</w:t>
      </w:r>
      <w:proofErr w:type="gramEnd"/>
      <w:r w:rsidRPr="006309A6">
        <w:rPr>
          <w:rFonts w:cs="Arial"/>
          <w:color w:val="000000"/>
        </w:rPr>
        <w:t xml:space="preserve"> the games; regeneration legacies and London 2012 </w:t>
      </w:r>
      <w:r w:rsidRPr="006309A6">
        <w:rPr>
          <w:rFonts w:cs="Arial"/>
          <w:i/>
          <w:color w:val="000000"/>
        </w:rPr>
        <w:t>Leisure Studies 31:3:309-331</w:t>
      </w:r>
    </w:p>
    <w:p w:rsidR="00C56E62" w:rsidRPr="006309A6" w:rsidRDefault="00C56E62" w:rsidP="00C56E62">
      <w:pPr>
        <w:rPr>
          <w:i/>
        </w:rPr>
      </w:pPr>
      <w:r w:rsidRPr="006309A6">
        <w:t xml:space="preserve">De Souza (2012) </w:t>
      </w:r>
      <w:proofErr w:type="spellStart"/>
      <w:r w:rsidRPr="006309A6">
        <w:t>Panem</w:t>
      </w:r>
      <w:proofErr w:type="spellEnd"/>
      <w:r w:rsidRPr="006309A6">
        <w:t xml:space="preserve"> et </w:t>
      </w:r>
      <w:proofErr w:type="spellStart"/>
      <w:r w:rsidRPr="006309A6">
        <w:t>Circucenses</w:t>
      </w:r>
      <w:proofErr w:type="spellEnd"/>
      <w:r w:rsidRPr="006309A6">
        <w:t xml:space="preserve"> versus the right to the city (centre) in Rio de </w:t>
      </w:r>
      <w:proofErr w:type="spellStart"/>
      <w:r w:rsidRPr="006309A6">
        <w:t>Janiero</w:t>
      </w:r>
      <w:proofErr w:type="spellEnd"/>
      <w:r w:rsidRPr="006309A6">
        <w:t xml:space="preserve">, </w:t>
      </w:r>
      <w:r w:rsidRPr="006309A6">
        <w:rPr>
          <w:i/>
        </w:rPr>
        <w:t>City 16:5</w:t>
      </w:r>
      <w:proofErr w:type="gramStart"/>
      <w:r w:rsidRPr="006309A6">
        <w:rPr>
          <w:i/>
        </w:rPr>
        <w:t>;563</w:t>
      </w:r>
      <w:proofErr w:type="gramEnd"/>
      <w:r w:rsidRPr="006309A6">
        <w:rPr>
          <w:i/>
        </w:rPr>
        <w:t>-572</w:t>
      </w:r>
    </w:p>
    <w:p w:rsidR="00C56E62" w:rsidRPr="006309A6" w:rsidRDefault="00C56E62" w:rsidP="00C56E62">
      <w:proofErr w:type="gramStart"/>
      <w:r w:rsidRPr="006309A6">
        <w:t xml:space="preserve">Gibbons and </w:t>
      </w:r>
      <w:proofErr w:type="spellStart"/>
      <w:r w:rsidRPr="006309A6">
        <w:t>Woff</w:t>
      </w:r>
      <w:proofErr w:type="spellEnd"/>
      <w:r w:rsidRPr="006309A6">
        <w:t xml:space="preserve"> (2012b) Unlinking the rings; cities and the Olympic Games; Part Three.</w:t>
      </w:r>
      <w:proofErr w:type="gramEnd"/>
      <w:r w:rsidRPr="006309A6">
        <w:t xml:space="preserve"> Introduction: Unpacking the Olympic spectacle: ’faster, higher, stronger from London to Rio to China, City 16</w:t>
      </w:r>
      <w:proofErr w:type="gramStart"/>
      <w:r w:rsidRPr="006309A6">
        <w:t>,6</w:t>
      </w:r>
      <w:proofErr w:type="gramEnd"/>
      <w:r w:rsidRPr="006309A6">
        <w:t xml:space="preserve"> 725-727</w:t>
      </w:r>
    </w:p>
    <w:p w:rsidR="00C56E62" w:rsidRPr="006309A6" w:rsidRDefault="00C56E62" w:rsidP="00C56E62">
      <w:r w:rsidRPr="006309A6">
        <w:t xml:space="preserve">Harvey D (1988) ‘Voodoo Cities’, </w:t>
      </w:r>
      <w:r w:rsidRPr="006309A6">
        <w:rPr>
          <w:i/>
        </w:rPr>
        <w:t>New Statesman and Society</w:t>
      </w:r>
      <w:r w:rsidRPr="006309A6">
        <w:t xml:space="preserve"> (30 September; 33-35)</w:t>
      </w:r>
    </w:p>
    <w:p w:rsidR="006309A6" w:rsidRPr="00D5239D" w:rsidRDefault="006309A6" w:rsidP="006309A6">
      <w:proofErr w:type="gramStart"/>
      <w:r w:rsidRPr="00D5239D">
        <w:t>London East Research Institute (</w:t>
      </w:r>
      <w:proofErr w:type="spellStart"/>
      <w:r w:rsidRPr="00D5239D">
        <w:t>LERI</w:t>
      </w:r>
      <w:proofErr w:type="spellEnd"/>
      <w:r w:rsidRPr="00D5239D">
        <w:t xml:space="preserve">) (2007) </w:t>
      </w:r>
      <w:r w:rsidRPr="00D5239D">
        <w:rPr>
          <w:i/>
        </w:rPr>
        <w:t>A Lasting Legacy for London?</w:t>
      </w:r>
      <w:proofErr w:type="gramEnd"/>
      <w:r w:rsidRPr="00D5239D">
        <w:rPr>
          <w:i/>
        </w:rPr>
        <w:t xml:space="preserve"> Assessing the Legacy of the Olympic Games and Paralympic Games</w:t>
      </w:r>
      <w:r w:rsidRPr="00D5239D">
        <w:t>, London Assembly, London</w:t>
      </w:r>
    </w:p>
    <w:p w:rsidR="006309A6" w:rsidRPr="006309A6" w:rsidRDefault="006309A6" w:rsidP="006309A6">
      <w:pPr>
        <w:rPr>
          <w:i/>
        </w:rPr>
      </w:pPr>
      <w:r w:rsidRPr="006309A6">
        <w:t>Parnell, S. and Robinson, J. (2012) (Re</w:t>
      </w:r>
      <w:proofErr w:type="gramStart"/>
      <w:r w:rsidRPr="006309A6">
        <w:t>)Theorising</w:t>
      </w:r>
      <w:proofErr w:type="gramEnd"/>
      <w:r w:rsidRPr="006309A6">
        <w:t xml:space="preserve"> Cities from the global south; looking beyond neoliberalism, </w:t>
      </w:r>
      <w:r w:rsidRPr="006309A6">
        <w:rPr>
          <w:i/>
        </w:rPr>
        <w:t>Urban Geography 33, 4;593-617</w:t>
      </w:r>
    </w:p>
    <w:p w:rsidR="00C56E62" w:rsidRPr="006309A6" w:rsidRDefault="00C56E62" w:rsidP="00C56E62">
      <w:pPr>
        <w:rPr>
          <w:b/>
          <w:color w:val="000000" w:themeColor="text1"/>
        </w:rPr>
      </w:pPr>
      <w:proofErr w:type="gramStart"/>
      <w:r w:rsidRPr="006309A6">
        <w:rPr>
          <w:color w:val="000000" w:themeColor="text1"/>
        </w:rPr>
        <w:t>Peck  J</w:t>
      </w:r>
      <w:proofErr w:type="gramEnd"/>
      <w:r w:rsidRPr="006309A6">
        <w:rPr>
          <w:color w:val="000000" w:themeColor="text1"/>
        </w:rPr>
        <w:t xml:space="preserve"> and Theodore N (2010) </w:t>
      </w:r>
      <w:proofErr w:type="spellStart"/>
      <w:r w:rsidRPr="006309A6">
        <w:rPr>
          <w:rStyle w:val="maintitle"/>
          <w:color w:val="000000" w:themeColor="text1"/>
        </w:rPr>
        <w:t>Postneoliberalism</w:t>
      </w:r>
      <w:proofErr w:type="spellEnd"/>
      <w:r w:rsidRPr="006309A6">
        <w:rPr>
          <w:rStyle w:val="maintitle"/>
          <w:color w:val="000000" w:themeColor="text1"/>
        </w:rPr>
        <w:t xml:space="preserve"> and its Malcontents</w:t>
      </w:r>
      <w:r w:rsidRPr="006309A6">
        <w:rPr>
          <w:rStyle w:val="maintitle"/>
          <w:b/>
          <w:color w:val="000000" w:themeColor="text1"/>
        </w:rPr>
        <w:t xml:space="preserve"> </w:t>
      </w:r>
      <w:r w:rsidRPr="006309A6">
        <w:rPr>
          <w:i/>
          <w:color w:val="000000" w:themeColor="text1"/>
        </w:rPr>
        <w:t>Antipode</w:t>
      </w:r>
      <w:r w:rsidRPr="006309A6">
        <w:rPr>
          <w:b/>
          <w:i/>
          <w:color w:val="000000" w:themeColor="text1"/>
        </w:rPr>
        <w:t xml:space="preserve"> </w:t>
      </w:r>
      <w:r w:rsidRPr="006309A6">
        <w:rPr>
          <w:color w:val="000000" w:themeColor="text1"/>
        </w:rPr>
        <w:t>41,1,:94–116</w:t>
      </w:r>
      <w:r w:rsidRPr="006309A6">
        <w:rPr>
          <w:b/>
          <w:color w:val="000000" w:themeColor="text1"/>
        </w:rPr>
        <w:t>.</w:t>
      </w:r>
    </w:p>
    <w:p w:rsidR="006309A6" w:rsidRPr="006309A6" w:rsidRDefault="006309A6" w:rsidP="006309A6">
      <w:r w:rsidRPr="006309A6">
        <w:t xml:space="preserve">McCann E and Ward </w:t>
      </w:r>
      <w:proofErr w:type="gramStart"/>
      <w:r w:rsidRPr="006309A6">
        <w:t>K  (</w:t>
      </w:r>
      <w:proofErr w:type="gramEnd"/>
      <w:r w:rsidRPr="006309A6">
        <w:t>2011) (</w:t>
      </w:r>
      <w:proofErr w:type="spellStart"/>
      <w:r w:rsidRPr="006309A6">
        <w:t>eds</w:t>
      </w:r>
      <w:proofErr w:type="spellEnd"/>
      <w:r w:rsidRPr="006309A6">
        <w:t xml:space="preserve">) </w:t>
      </w:r>
      <w:r w:rsidRPr="006309A6">
        <w:rPr>
          <w:i/>
        </w:rPr>
        <w:t>Mobile Urbanism</w:t>
      </w:r>
      <w:r w:rsidRPr="006309A6">
        <w:t>, London University of Minnesota Press.</w:t>
      </w:r>
    </w:p>
    <w:p w:rsidR="00C56E62" w:rsidRPr="006309A6" w:rsidRDefault="00C56E62" w:rsidP="00C56E62">
      <w:pPr>
        <w:rPr>
          <w:rFonts w:eastAsia="Calibri" w:cs="Arial"/>
        </w:rPr>
      </w:pPr>
      <w:r w:rsidRPr="006309A6">
        <w:rPr>
          <w:rFonts w:eastAsia="Calibri" w:cs="Arial"/>
        </w:rPr>
        <w:lastRenderedPageBreak/>
        <w:t xml:space="preserve">Newman J, 2012, </w:t>
      </w:r>
      <w:proofErr w:type="gramStart"/>
      <w:r w:rsidRPr="006309A6">
        <w:rPr>
          <w:rFonts w:eastAsia="Calibri" w:cs="Arial"/>
          <w:i/>
        </w:rPr>
        <w:t>Working</w:t>
      </w:r>
      <w:proofErr w:type="gramEnd"/>
      <w:r w:rsidRPr="006309A6">
        <w:rPr>
          <w:rFonts w:eastAsia="Calibri" w:cs="Arial"/>
          <w:i/>
        </w:rPr>
        <w:t xml:space="preserve"> the spaces of power: activism, neo-liberalism and gendered labour (</w:t>
      </w:r>
      <w:r w:rsidRPr="006309A6">
        <w:rPr>
          <w:rFonts w:eastAsia="Calibri" w:cs="Arial"/>
        </w:rPr>
        <w:t>Bloomsbury, London)</w:t>
      </w:r>
    </w:p>
    <w:p w:rsidR="006309A6" w:rsidRPr="00D5239D" w:rsidRDefault="006309A6" w:rsidP="006309A6">
      <w:pPr>
        <w:autoSpaceDE w:val="0"/>
        <w:autoSpaceDN w:val="0"/>
        <w:adjustRightInd w:val="0"/>
        <w:spacing w:after="0" w:line="240" w:lineRule="auto"/>
        <w:rPr>
          <w:rFonts w:cs="Arial"/>
          <w:i/>
        </w:rPr>
      </w:pPr>
      <w:r w:rsidRPr="00D5239D">
        <w:rPr>
          <w:rFonts w:cs="Arial"/>
        </w:rPr>
        <w:t>Thornley</w:t>
      </w:r>
      <w:r>
        <w:rPr>
          <w:rFonts w:cs="Arial"/>
        </w:rPr>
        <w:t>,</w:t>
      </w:r>
      <w:r w:rsidRPr="00D5239D">
        <w:rPr>
          <w:rFonts w:cs="Arial"/>
        </w:rPr>
        <w:t xml:space="preserve"> A</w:t>
      </w:r>
      <w:r>
        <w:rPr>
          <w:rFonts w:cs="Arial"/>
        </w:rPr>
        <w:t>.</w:t>
      </w:r>
      <w:r w:rsidRPr="00D5239D">
        <w:rPr>
          <w:rFonts w:cs="Arial"/>
        </w:rPr>
        <w:t xml:space="preserve"> (2012) </w:t>
      </w:r>
      <w:proofErr w:type="gramStart"/>
      <w:r w:rsidRPr="00D5239D">
        <w:rPr>
          <w:rFonts w:cs="Arial"/>
        </w:rPr>
        <w:t>The</w:t>
      </w:r>
      <w:proofErr w:type="gramEnd"/>
      <w:r w:rsidRPr="00D5239D">
        <w:rPr>
          <w:rFonts w:cs="Arial"/>
        </w:rPr>
        <w:t xml:space="preserve"> London 2012 Olympics; What Legacy? </w:t>
      </w:r>
      <w:r>
        <w:rPr>
          <w:rFonts w:cs="Arial"/>
          <w:i/>
        </w:rPr>
        <w:t xml:space="preserve">Journal of Policy research </w:t>
      </w:r>
      <w:proofErr w:type="gramStart"/>
      <w:r>
        <w:rPr>
          <w:rFonts w:cs="Arial"/>
          <w:i/>
        </w:rPr>
        <w:t>into  To</w:t>
      </w:r>
      <w:r w:rsidRPr="00D5239D">
        <w:rPr>
          <w:rFonts w:cs="Arial"/>
          <w:i/>
        </w:rPr>
        <w:t>u</w:t>
      </w:r>
      <w:r>
        <w:rPr>
          <w:rFonts w:cs="Arial"/>
          <w:i/>
        </w:rPr>
        <w:t>r</w:t>
      </w:r>
      <w:r w:rsidRPr="00D5239D">
        <w:rPr>
          <w:rFonts w:cs="Arial"/>
          <w:i/>
        </w:rPr>
        <w:t>ism</w:t>
      </w:r>
      <w:proofErr w:type="gramEnd"/>
      <w:r w:rsidRPr="00D5239D">
        <w:rPr>
          <w:rFonts w:cs="Arial"/>
          <w:i/>
        </w:rPr>
        <w:t xml:space="preserve"> </w:t>
      </w:r>
      <w:r>
        <w:rPr>
          <w:rFonts w:cs="Arial"/>
          <w:i/>
        </w:rPr>
        <w:t xml:space="preserve"> </w:t>
      </w:r>
      <w:r>
        <w:rPr>
          <w:rFonts w:ascii="TimesNewRomanPS" w:hAnsi="TimesNewRomanPS" w:cs="TimesNewRomanPS"/>
          <w:sz w:val="18"/>
          <w:szCs w:val="18"/>
        </w:rPr>
        <w:t xml:space="preserve"> 15:365–374.</w:t>
      </w:r>
    </w:p>
    <w:p w:rsidR="00FC6843" w:rsidRDefault="00FC6843"/>
    <w:sectPr w:rsidR="00FC68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413" w:rsidRDefault="00925413" w:rsidP="004D229F">
      <w:pPr>
        <w:spacing w:after="0" w:line="240" w:lineRule="auto"/>
      </w:pPr>
      <w:r>
        <w:separator/>
      </w:r>
    </w:p>
  </w:endnote>
  <w:endnote w:type="continuationSeparator" w:id="0">
    <w:p w:rsidR="00925413" w:rsidRDefault="00925413" w:rsidP="004D2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413" w:rsidRDefault="00925413" w:rsidP="004D229F">
      <w:pPr>
        <w:spacing w:after="0" w:line="240" w:lineRule="auto"/>
      </w:pPr>
      <w:r>
        <w:separator/>
      </w:r>
    </w:p>
  </w:footnote>
  <w:footnote w:type="continuationSeparator" w:id="0">
    <w:p w:rsidR="00925413" w:rsidRDefault="00925413" w:rsidP="004D22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43"/>
    <w:rsid w:val="000B2B36"/>
    <w:rsid w:val="00152551"/>
    <w:rsid w:val="00246FD8"/>
    <w:rsid w:val="002900EE"/>
    <w:rsid w:val="00403634"/>
    <w:rsid w:val="004D229F"/>
    <w:rsid w:val="006309A6"/>
    <w:rsid w:val="00777157"/>
    <w:rsid w:val="009143C6"/>
    <w:rsid w:val="00925413"/>
    <w:rsid w:val="00961AEB"/>
    <w:rsid w:val="00A61FBC"/>
    <w:rsid w:val="00C300B9"/>
    <w:rsid w:val="00C54BD4"/>
    <w:rsid w:val="00C56E62"/>
    <w:rsid w:val="00D10286"/>
    <w:rsid w:val="00DE7482"/>
    <w:rsid w:val="00FC6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D229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4D229F"/>
    <w:rPr>
      <w:rFonts w:ascii="Times New Roman" w:eastAsia="Times New Roman" w:hAnsi="Times New Roman" w:cs="Times New Roman"/>
      <w:sz w:val="20"/>
      <w:szCs w:val="20"/>
      <w:lang w:val="en-US"/>
    </w:rPr>
  </w:style>
  <w:style w:type="character" w:styleId="FootnoteReference">
    <w:name w:val="footnote reference"/>
    <w:rsid w:val="004D229F"/>
    <w:rPr>
      <w:vertAlign w:val="superscript"/>
    </w:rPr>
  </w:style>
  <w:style w:type="paragraph" w:styleId="NormalWeb">
    <w:name w:val="Normal (Web)"/>
    <w:basedOn w:val="Normal"/>
    <w:uiPriority w:val="99"/>
    <w:unhideWhenUsed/>
    <w:rsid w:val="004D22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intitle">
    <w:name w:val="maintitle"/>
    <w:basedOn w:val="DefaultParagraphFont"/>
    <w:rsid w:val="00C56E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D229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4D229F"/>
    <w:rPr>
      <w:rFonts w:ascii="Times New Roman" w:eastAsia="Times New Roman" w:hAnsi="Times New Roman" w:cs="Times New Roman"/>
      <w:sz w:val="20"/>
      <w:szCs w:val="20"/>
      <w:lang w:val="en-US"/>
    </w:rPr>
  </w:style>
  <w:style w:type="character" w:styleId="FootnoteReference">
    <w:name w:val="footnote reference"/>
    <w:rsid w:val="004D229F"/>
    <w:rPr>
      <w:vertAlign w:val="superscript"/>
    </w:rPr>
  </w:style>
  <w:style w:type="paragraph" w:styleId="NormalWeb">
    <w:name w:val="Normal (Web)"/>
    <w:basedOn w:val="Normal"/>
    <w:uiPriority w:val="99"/>
    <w:unhideWhenUsed/>
    <w:rsid w:val="004D22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intitle">
    <w:name w:val="maintitle"/>
    <w:basedOn w:val="DefaultParagraphFont"/>
    <w:rsid w:val="00C56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5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BROWNILL, SUE</dc:creator>
  <cp:lastModifiedBy>BROWNILL, SUE</cp:lastModifiedBy>
  <cp:revision>2</cp:revision>
  <dcterms:created xsi:type="dcterms:W3CDTF">2015-10-19T10:53:00Z</dcterms:created>
  <dcterms:modified xsi:type="dcterms:W3CDTF">2015-10-19T10:53:00Z</dcterms:modified>
</cp:coreProperties>
</file>