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F3" w:rsidRPr="00DC5223" w:rsidRDefault="00414EF3">
      <w:pPr>
        <w:rPr>
          <w:rFonts w:ascii="Times New Roman" w:hAnsi="Times New Roman" w:cs="Times New Roman"/>
          <w:sz w:val="23"/>
          <w:szCs w:val="23"/>
        </w:rPr>
      </w:pPr>
      <w:r w:rsidRPr="00DC5223">
        <w:rPr>
          <w:sz w:val="23"/>
          <w:szCs w:val="23"/>
        </w:rPr>
        <w:t>I</w:t>
      </w:r>
      <w:r w:rsidRPr="00DC5223">
        <w:rPr>
          <w:rFonts w:ascii="Times New Roman" w:hAnsi="Times New Roman" w:cs="Times New Roman"/>
          <w:sz w:val="23"/>
          <w:szCs w:val="23"/>
        </w:rPr>
        <w:t>nterpreting urban planning: hermeneutics, practice and theory</w:t>
      </w:r>
    </w:p>
    <w:p w:rsidR="00414EF3" w:rsidRPr="00DC5223" w:rsidRDefault="00414EF3">
      <w:pPr>
        <w:rPr>
          <w:rFonts w:ascii="Times New Roman" w:hAnsi="Times New Roman" w:cs="Times New Roman"/>
          <w:sz w:val="23"/>
          <w:szCs w:val="23"/>
        </w:rPr>
      </w:pPr>
      <w:r w:rsidRPr="00DC5223">
        <w:rPr>
          <w:rFonts w:ascii="Times New Roman" w:hAnsi="Times New Roman" w:cs="Times New Roman"/>
          <w:sz w:val="23"/>
          <w:szCs w:val="23"/>
        </w:rPr>
        <w:t>Barry Goodchild, Sheffield Hallam University</w:t>
      </w:r>
    </w:p>
    <w:p w:rsidR="008318E6" w:rsidRPr="00DC5223" w:rsidRDefault="008318E6">
      <w:pPr>
        <w:rPr>
          <w:rFonts w:ascii="Times New Roman" w:hAnsi="Times New Roman" w:cs="Times New Roman"/>
          <w:sz w:val="23"/>
          <w:szCs w:val="23"/>
        </w:rPr>
      </w:pPr>
      <w:r w:rsidRPr="00DC5223">
        <w:rPr>
          <w:rFonts w:ascii="Times New Roman" w:hAnsi="Times New Roman" w:cs="Times New Roman"/>
          <w:sz w:val="23"/>
          <w:szCs w:val="23"/>
        </w:rPr>
        <w:t>Extended abstract</w:t>
      </w:r>
    </w:p>
    <w:p w:rsidR="008318E6" w:rsidRPr="00DC5223" w:rsidRDefault="00C46CA9">
      <w:pPr>
        <w:rPr>
          <w:rFonts w:ascii="Times New Roman" w:hAnsi="Times New Roman" w:cs="Times New Roman"/>
          <w:sz w:val="23"/>
          <w:szCs w:val="23"/>
        </w:rPr>
      </w:pPr>
      <w:r w:rsidRPr="00DC5223">
        <w:rPr>
          <w:rFonts w:ascii="Times New Roman" w:hAnsi="Times New Roman" w:cs="Times New Roman"/>
          <w:sz w:val="23"/>
          <w:szCs w:val="23"/>
        </w:rPr>
        <w:t xml:space="preserve">Hermeneutics was once dismissed by </w:t>
      </w:r>
      <w:proofErr w:type="spellStart"/>
      <w:r w:rsidRPr="00DC5223">
        <w:rPr>
          <w:rFonts w:ascii="Times New Roman" w:hAnsi="Times New Roman" w:cs="Times New Roman"/>
          <w:sz w:val="23"/>
          <w:szCs w:val="23"/>
        </w:rPr>
        <w:t>Fainstein</w:t>
      </w:r>
      <w:proofErr w:type="spellEnd"/>
      <w:r w:rsidRPr="00DC5223">
        <w:rPr>
          <w:rFonts w:ascii="Times New Roman" w:hAnsi="Times New Roman" w:cs="Times New Roman"/>
          <w:sz w:val="23"/>
          <w:szCs w:val="23"/>
        </w:rPr>
        <w:t xml:space="preserve"> (2000, 456) as a ‘thicket’, by implication an impenetrable jungle of ideas that is worth avoiding. </w:t>
      </w:r>
      <w:r w:rsidR="008318E6" w:rsidRPr="00DC5223">
        <w:rPr>
          <w:rFonts w:ascii="Times New Roman" w:hAnsi="Times New Roman" w:cs="Times New Roman"/>
          <w:sz w:val="23"/>
          <w:szCs w:val="23"/>
        </w:rPr>
        <w:t>The origins of hermeneutics in textual analysis is, moreover, distant from the concerns of planning and practice.</w:t>
      </w:r>
    </w:p>
    <w:p w:rsidR="00106A39" w:rsidRPr="00DC5223" w:rsidRDefault="00C46CA9">
      <w:pPr>
        <w:rPr>
          <w:rFonts w:ascii="Times New Roman" w:hAnsi="Times New Roman" w:cs="Times New Roman"/>
          <w:sz w:val="23"/>
          <w:szCs w:val="23"/>
        </w:rPr>
      </w:pPr>
      <w:r w:rsidRPr="00DC5223">
        <w:rPr>
          <w:rFonts w:ascii="Times New Roman" w:hAnsi="Times New Roman" w:cs="Times New Roman"/>
          <w:sz w:val="23"/>
          <w:szCs w:val="23"/>
        </w:rPr>
        <w:t>It is not necessary, however, to go far into t</w:t>
      </w:r>
      <w:bookmarkStart w:id="0" w:name="_GoBack"/>
      <w:bookmarkEnd w:id="0"/>
      <w:r w:rsidRPr="00DC5223">
        <w:rPr>
          <w:rFonts w:ascii="Times New Roman" w:hAnsi="Times New Roman" w:cs="Times New Roman"/>
          <w:sz w:val="23"/>
          <w:szCs w:val="23"/>
        </w:rPr>
        <w:t xml:space="preserve">he thicket </w:t>
      </w:r>
      <w:r w:rsidR="008318E6" w:rsidRPr="00DC5223">
        <w:rPr>
          <w:rFonts w:ascii="Times New Roman" w:hAnsi="Times New Roman" w:cs="Times New Roman"/>
          <w:sz w:val="23"/>
          <w:szCs w:val="23"/>
        </w:rPr>
        <w:t xml:space="preserve">of hermeneutics </w:t>
      </w:r>
      <w:r w:rsidRPr="00DC5223">
        <w:rPr>
          <w:rFonts w:ascii="Times New Roman" w:hAnsi="Times New Roman" w:cs="Times New Roman"/>
          <w:sz w:val="23"/>
          <w:szCs w:val="23"/>
        </w:rPr>
        <w:t>to recognise that, at the most general level, planning theory is an exercise in interpretation. This paper is about the logic of theory, about the relationship between theory and practice and about the methodology of theory making. Theory is a device to make sense of the world and invariably involves relatively abstract ideas. However, abstract ideas and statements of those ideas can take many different forms. An interpretative, hermeneutic approach provides a means of understanding and organising the subject matter and also a means of breaking down barriers between positivist and non-positivist approaches, whilst also permitting the material ‘turn’ of recent theorising</w:t>
      </w:r>
      <w:r w:rsidR="00A209B1" w:rsidRPr="00DC5223">
        <w:rPr>
          <w:rFonts w:ascii="Times New Roman" w:hAnsi="Times New Roman" w:cs="Times New Roman"/>
          <w:sz w:val="23"/>
          <w:szCs w:val="23"/>
        </w:rPr>
        <w:t>, as for example expounded by Rydin</w:t>
      </w:r>
      <w:r w:rsidR="00216B7D">
        <w:rPr>
          <w:rFonts w:ascii="Times New Roman" w:hAnsi="Times New Roman" w:cs="Times New Roman"/>
          <w:sz w:val="23"/>
          <w:szCs w:val="23"/>
        </w:rPr>
        <w:t xml:space="preserve"> (2014)</w:t>
      </w:r>
      <w:r w:rsidRPr="00DC5223">
        <w:rPr>
          <w:rFonts w:ascii="Times New Roman" w:hAnsi="Times New Roman" w:cs="Times New Roman"/>
          <w:sz w:val="23"/>
          <w:szCs w:val="23"/>
        </w:rPr>
        <w:t xml:space="preserve">. </w:t>
      </w:r>
    </w:p>
    <w:p w:rsidR="00C46CA9" w:rsidRPr="00DC5223" w:rsidRDefault="00C46CA9">
      <w:pPr>
        <w:rPr>
          <w:rFonts w:ascii="Times New Roman" w:hAnsi="Times New Roman" w:cs="Times New Roman"/>
          <w:sz w:val="23"/>
          <w:szCs w:val="23"/>
        </w:rPr>
      </w:pPr>
      <w:r w:rsidRPr="00DC5223">
        <w:rPr>
          <w:rFonts w:ascii="Times New Roman" w:hAnsi="Times New Roman" w:cs="Times New Roman"/>
          <w:sz w:val="23"/>
          <w:szCs w:val="23"/>
        </w:rPr>
        <w:t>Planning theory may</w:t>
      </w:r>
      <w:r w:rsidR="00216B7D">
        <w:rPr>
          <w:rFonts w:ascii="Times New Roman" w:hAnsi="Times New Roman" w:cs="Times New Roman"/>
          <w:sz w:val="23"/>
          <w:szCs w:val="23"/>
        </w:rPr>
        <w:t xml:space="preserve"> </w:t>
      </w:r>
      <w:r w:rsidRPr="00DC5223">
        <w:rPr>
          <w:rFonts w:ascii="Times New Roman" w:hAnsi="Times New Roman" w:cs="Times New Roman"/>
          <w:sz w:val="23"/>
          <w:szCs w:val="23"/>
        </w:rPr>
        <w:t>be clarified as ‘a store of knowledge’</w:t>
      </w:r>
      <w:r w:rsidR="00734DA9" w:rsidRPr="00DC5223">
        <w:rPr>
          <w:rFonts w:ascii="Times New Roman" w:hAnsi="Times New Roman" w:cs="Times New Roman"/>
          <w:sz w:val="23"/>
          <w:szCs w:val="23"/>
        </w:rPr>
        <w:t xml:space="preserve"> (</w:t>
      </w:r>
      <w:r w:rsidR="00E07870" w:rsidRPr="00DC5223">
        <w:rPr>
          <w:rFonts w:ascii="Times New Roman" w:hAnsi="Times New Roman" w:cs="Times New Roman"/>
          <w:sz w:val="23"/>
          <w:szCs w:val="23"/>
        </w:rPr>
        <w:t xml:space="preserve">Healey 1997, 6-7: </w:t>
      </w:r>
      <w:proofErr w:type="spellStart"/>
      <w:r w:rsidR="00E07870" w:rsidRPr="00DC5223">
        <w:rPr>
          <w:rFonts w:ascii="Times New Roman" w:hAnsi="Times New Roman" w:cs="Times New Roman"/>
          <w:sz w:val="23"/>
          <w:szCs w:val="23"/>
        </w:rPr>
        <w:t>Pallagst</w:t>
      </w:r>
      <w:proofErr w:type="spellEnd"/>
      <w:r w:rsidR="00E07870" w:rsidRPr="00DC5223">
        <w:rPr>
          <w:rFonts w:ascii="Times New Roman" w:hAnsi="Times New Roman" w:cs="Times New Roman"/>
          <w:sz w:val="23"/>
          <w:szCs w:val="23"/>
        </w:rPr>
        <w:t xml:space="preserve"> (2012, 37-72)</w:t>
      </w:r>
      <w:r w:rsidRPr="00DC5223">
        <w:rPr>
          <w:rFonts w:ascii="Times New Roman" w:hAnsi="Times New Roman" w:cs="Times New Roman"/>
          <w:sz w:val="23"/>
          <w:szCs w:val="23"/>
        </w:rPr>
        <w:t xml:space="preserve">- a </w:t>
      </w:r>
      <w:r w:rsidR="00216B7D">
        <w:rPr>
          <w:rFonts w:ascii="Times New Roman" w:hAnsi="Times New Roman" w:cs="Times New Roman"/>
          <w:sz w:val="23"/>
          <w:szCs w:val="23"/>
        </w:rPr>
        <w:t xml:space="preserve">collection </w:t>
      </w:r>
      <w:r w:rsidRPr="00DC5223">
        <w:rPr>
          <w:rFonts w:ascii="Times New Roman" w:hAnsi="Times New Roman" w:cs="Times New Roman"/>
          <w:sz w:val="23"/>
          <w:szCs w:val="23"/>
        </w:rPr>
        <w:t xml:space="preserve">of </w:t>
      </w:r>
      <w:r w:rsidR="00216B7D">
        <w:rPr>
          <w:rFonts w:ascii="Times New Roman" w:hAnsi="Times New Roman" w:cs="Times New Roman"/>
          <w:sz w:val="23"/>
          <w:szCs w:val="23"/>
        </w:rPr>
        <w:t xml:space="preserve">items of </w:t>
      </w:r>
      <w:r w:rsidRPr="00DC5223">
        <w:rPr>
          <w:rFonts w:ascii="Times New Roman" w:hAnsi="Times New Roman" w:cs="Times New Roman"/>
          <w:sz w:val="23"/>
          <w:szCs w:val="23"/>
        </w:rPr>
        <w:t xml:space="preserve">knowledge whose components are relevant in different circumstances, but that is nevertheless unfinished  and whose impact on practice is confined to making practitioners more aware of practice and its consequences. </w:t>
      </w:r>
      <w:r w:rsidR="00734DA9" w:rsidRPr="00DC5223">
        <w:rPr>
          <w:rFonts w:ascii="Times New Roman" w:hAnsi="Times New Roman" w:cs="Times New Roman"/>
          <w:sz w:val="23"/>
          <w:szCs w:val="23"/>
        </w:rPr>
        <w:t>Hermeneutics as the philosophy of interpretation is central to this task. Hermeneutics assumes that a tradition of ideas and theory is necessary from the outset to define a framework</w:t>
      </w:r>
      <w:r w:rsidR="000172C4" w:rsidRPr="00DC5223">
        <w:rPr>
          <w:rFonts w:ascii="Times New Roman" w:hAnsi="Times New Roman" w:cs="Times New Roman"/>
          <w:sz w:val="23"/>
          <w:szCs w:val="23"/>
        </w:rPr>
        <w:t xml:space="preserve"> and express the values of the writer or analyst</w:t>
      </w:r>
      <w:r w:rsidR="00414EF3" w:rsidRPr="00DC5223">
        <w:rPr>
          <w:rFonts w:ascii="Times New Roman" w:hAnsi="Times New Roman" w:cs="Times New Roman"/>
          <w:sz w:val="23"/>
          <w:szCs w:val="23"/>
        </w:rPr>
        <w:t xml:space="preserve">, albeit a framework that may be modified as analysis proceeds. </w:t>
      </w:r>
      <w:r w:rsidR="00414EF3" w:rsidRPr="00DC5223">
        <w:rPr>
          <w:rFonts w:ascii="Times New Roman" w:hAnsi="Times New Roman" w:cs="Times New Roman"/>
          <w:sz w:val="23"/>
          <w:szCs w:val="23"/>
        </w:rPr>
        <w:t>Hermeneutics works within a circle of understanding and is a result distinct from both grounded theory and phenomenology, both of which assume in different ways that theory is an output of analysis.</w:t>
      </w:r>
      <w:r w:rsidR="00805416" w:rsidRPr="00DC5223">
        <w:rPr>
          <w:rFonts w:ascii="Times New Roman" w:hAnsi="Times New Roman" w:cs="Times New Roman"/>
          <w:sz w:val="23"/>
          <w:szCs w:val="23"/>
        </w:rPr>
        <w:t xml:space="preserve"> </w:t>
      </w:r>
    </w:p>
    <w:p w:rsidR="00805416" w:rsidRPr="00DC5223" w:rsidRDefault="00805416" w:rsidP="00805416">
      <w:pPr>
        <w:rPr>
          <w:rFonts w:ascii="Times New Roman" w:hAnsi="Times New Roman" w:cs="Times New Roman"/>
          <w:sz w:val="23"/>
          <w:szCs w:val="23"/>
        </w:rPr>
      </w:pPr>
      <w:r w:rsidRPr="00DC5223">
        <w:rPr>
          <w:rFonts w:ascii="Times New Roman" w:hAnsi="Times New Roman" w:cs="Times New Roman"/>
          <w:sz w:val="23"/>
          <w:szCs w:val="23"/>
        </w:rPr>
        <w:t>A conventional distinction is between single and double hermeneutics (Giddens</w:t>
      </w:r>
      <w:r w:rsidR="00DC5223" w:rsidRPr="00DC5223">
        <w:rPr>
          <w:rFonts w:ascii="Times New Roman" w:hAnsi="Times New Roman" w:cs="Times New Roman"/>
          <w:sz w:val="23"/>
          <w:szCs w:val="23"/>
        </w:rPr>
        <w:t xml:space="preserve"> 1984</w:t>
      </w:r>
      <w:r w:rsidRPr="00DC5223">
        <w:rPr>
          <w:rFonts w:ascii="Times New Roman" w:hAnsi="Times New Roman" w:cs="Times New Roman"/>
          <w:sz w:val="23"/>
          <w:szCs w:val="23"/>
        </w:rPr>
        <w:t xml:space="preserve">). Single hermeneutics is about the interpretation of raw data such as texts or aspects of social practice or statistical trends or the </w:t>
      </w:r>
      <w:r w:rsidR="008318E6" w:rsidRPr="00DC5223">
        <w:rPr>
          <w:rFonts w:ascii="Times New Roman" w:hAnsi="Times New Roman" w:cs="Times New Roman"/>
          <w:sz w:val="23"/>
          <w:szCs w:val="23"/>
        </w:rPr>
        <w:t xml:space="preserve">experience of an observer in a </w:t>
      </w:r>
      <w:r w:rsidRPr="00DC5223">
        <w:rPr>
          <w:rFonts w:ascii="Times New Roman" w:hAnsi="Times New Roman" w:cs="Times New Roman"/>
          <w:sz w:val="23"/>
          <w:szCs w:val="23"/>
        </w:rPr>
        <w:t xml:space="preserve">landscape. Single hermeneutics therefore incorporates the interpretation of social facts, on the </w:t>
      </w:r>
      <w:r w:rsidR="00216B7D">
        <w:rPr>
          <w:rFonts w:ascii="Times New Roman" w:hAnsi="Times New Roman" w:cs="Times New Roman"/>
          <w:sz w:val="23"/>
          <w:szCs w:val="23"/>
        </w:rPr>
        <w:t xml:space="preserve">assumption </w:t>
      </w:r>
      <w:r w:rsidRPr="00DC5223">
        <w:rPr>
          <w:rFonts w:ascii="Times New Roman" w:hAnsi="Times New Roman" w:cs="Times New Roman"/>
          <w:sz w:val="23"/>
          <w:szCs w:val="23"/>
        </w:rPr>
        <w:t>that these do not speak for themselves. ‘Double hermeneutics’, the interpretation of interpreting subjects, is the study and interpretation of transcripts, qualitative and quantitative survey responses using a combination of the respondents’ views and other evidence. Double hermeneutics therefore enriches the analysis of an</w:t>
      </w:r>
      <w:r w:rsidR="008318E6" w:rsidRPr="00DC5223">
        <w:rPr>
          <w:rFonts w:ascii="Times New Roman" w:hAnsi="Times New Roman" w:cs="Times New Roman"/>
          <w:sz w:val="23"/>
          <w:szCs w:val="23"/>
        </w:rPr>
        <w:t>y</w:t>
      </w:r>
      <w:r w:rsidRPr="00DC5223">
        <w:rPr>
          <w:rFonts w:ascii="Times New Roman" w:hAnsi="Times New Roman" w:cs="Times New Roman"/>
          <w:sz w:val="23"/>
          <w:szCs w:val="23"/>
        </w:rPr>
        <w:t xml:space="preserve"> phenomenon, relating these to the motives and understandings of individuals and institutional actors and, in doing so, identifying contextual factors of which the actors may not be aware. The principle of double hermeneutics may, moreover, be applied directly to planning </w:t>
      </w:r>
      <w:r w:rsidR="00216B7D">
        <w:rPr>
          <w:rFonts w:ascii="Times New Roman" w:hAnsi="Times New Roman" w:cs="Times New Roman"/>
          <w:sz w:val="23"/>
          <w:szCs w:val="23"/>
        </w:rPr>
        <w:t xml:space="preserve">and planning </w:t>
      </w:r>
      <w:r w:rsidRPr="00DC5223">
        <w:rPr>
          <w:rFonts w:ascii="Times New Roman" w:hAnsi="Times New Roman" w:cs="Times New Roman"/>
          <w:sz w:val="23"/>
          <w:szCs w:val="23"/>
        </w:rPr>
        <w:t>theory. Plans and planning involves the creative interpretation of places and their future. Planning theory is understanding the logic of plans and planning through their interpretation and application in practice.</w:t>
      </w:r>
    </w:p>
    <w:p w:rsidR="000172C4" w:rsidRPr="00DC5223" w:rsidRDefault="00805416">
      <w:pPr>
        <w:rPr>
          <w:rFonts w:ascii="Times New Roman" w:hAnsi="Times New Roman" w:cs="Times New Roman"/>
          <w:sz w:val="23"/>
          <w:szCs w:val="23"/>
        </w:rPr>
      </w:pPr>
      <w:r w:rsidRPr="00DC5223">
        <w:rPr>
          <w:rFonts w:ascii="Times New Roman" w:hAnsi="Times New Roman" w:cs="Times New Roman"/>
          <w:sz w:val="23"/>
          <w:szCs w:val="23"/>
        </w:rPr>
        <w:t xml:space="preserve">The single/ double distinction does not, however, exhaust the various levels of analysis. Alvesson and </w:t>
      </w:r>
      <w:proofErr w:type="spellStart"/>
      <w:r w:rsidRPr="00DC5223">
        <w:rPr>
          <w:rFonts w:ascii="Times New Roman" w:hAnsi="Times New Roman" w:cs="Times New Roman"/>
          <w:sz w:val="23"/>
          <w:szCs w:val="23"/>
        </w:rPr>
        <w:t>Sk</w:t>
      </w:r>
      <w:r w:rsidR="00DC5223" w:rsidRPr="00DC5223">
        <w:rPr>
          <w:rFonts w:ascii="Times New Roman" w:hAnsi="Times New Roman" w:cs="Times New Roman"/>
          <w:sz w:val="23"/>
          <w:szCs w:val="23"/>
        </w:rPr>
        <w:t>ő</w:t>
      </w:r>
      <w:r w:rsidRPr="00DC5223">
        <w:rPr>
          <w:rFonts w:ascii="Times New Roman" w:hAnsi="Times New Roman" w:cs="Times New Roman"/>
          <w:sz w:val="23"/>
          <w:szCs w:val="23"/>
        </w:rPr>
        <w:t>ldberg</w:t>
      </w:r>
      <w:proofErr w:type="spellEnd"/>
      <w:r w:rsidR="00DC5223" w:rsidRPr="00DC5223">
        <w:rPr>
          <w:rFonts w:ascii="Times New Roman" w:hAnsi="Times New Roman" w:cs="Times New Roman"/>
          <w:sz w:val="23"/>
          <w:szCs w:val="23"/>
        </w:rPr>
        <w:t xml:space="preserve"> (2008) </w:t>
      </w:r>
      <w:r w:rsidRPr="00DC5223">
        <w:rPr>
          <w:rFonts w:ascii="Times New Roman" w:hAnsi="Times New Roman" w:cs="Times New Roman"/>
          <w:sz w:val="23"/>
          <w:szCs w:val="23"/>
        </w:rPr>
        <w:t xml:space="preserve">also identify triple and quadruple hermeneutics. Triple hermeneutics is about the workings of power and the hidden processes </w:t>
      </w:r>
      <w:r w:rsidR="008318E6" w:rsidRPr="00DC5223">
        <w:rPr>
          <w:rFonts w:ascii="Times New Roman" w:hAnsi="Times New Roman" w:cs="Times New Roman"/>
          <w:sz w:val="23"/>
          <w:szCs w:val="23"/>
        </w:rPr>
        <w:t xml:space="preserve">whose apparent uncovering </w:t>
      </w:r>
      <w:proofErr w:type="spellStart"/>
      <w:r w:rsidRPr="00DC5223">
        <w:rPr>
          <w:rFonts w:ascii="Times New Roman" w:hAnsi="Times New Roman" w:cs="Times New Roman"/>
          <w:sz w:val="23"/>
          <w:szCs w:val="23"/>
        </w:rPr>
        <w:t>Ricoeur</w:t>
      </w:r>
      <w:proofErr w:type="spellEnd"/>
      <w:r w:rsidRPr="00DC5223">
        <w:rPr>
          <w:rFonts w:ascii="Times New Roman" w:hAnsi="Times New Roman" w:cs="Times New Roman"/>
          <w:sz w:val="23"/>
          <w:szCs w:val="23"/>
        </w:rPr>
        <w:t xml:space="preserve"> </w:t>
      </w:r>
      <w:r w:rsidR="003672DA">
        <w:rPr>
          <w:rFonts w:ascii="Times New Roman" w:hAnsi="Times New Roman" w:cs="Times New Roman"/>
          <w:sz w:val="23"/>
          <w:szCs w:val="23"/>
        </w:rPr>
        <w:t xml:space="preserve">(2004) </w:t>
      </w:r>
      <w:r w:rsidRPr="00DC5223">
        <w:rPr>
          <w:rFonts w:ascii="Times New Roman" w:hAnsi="Times New Roman" w:cs="Times New Roman"/>
          <w:sz w:val="23"/>
          <w:szCs w:val="23"/>
        </w:rPr>
        <w:t>calls the hermeneutics of suspicion. Quadruple hermeneutics deals with issues of fragmentation and the challenge of decons</w:t>
      </w:r>
      <w:r w:rsidR="000172C4" w:rsidRPr="00DC5223">
        <w:rPr>
          <w:rFonts w:ascii="Times New Roman" w:hAnsi="Times New Roman" w:cs="Times New Roman"/>
          <w:sz w:val="23"/>
          <w:szCs w:val="23"/>
        </w:rPr>
        <w:t xml:space="preserve">truction. </w:t>
      </w:r>
      <w:r w:rsidRPr="00DC5223">
        <w:rPr>
          <w:rFonts w:ascii="Times New Roman" w:hAnsi="Times New Roman" w:cs="Times New Roman"/>
          <w:sz w:val="23"/>
          <w:szCs w:val="23"/>
        </w:rPr>
        <w:t xml:space="preserve">Double, triple and quadruple levels of analysis transform hermeneutics from its original concern </w:t>
      </w:r>
      <w:r w:rsidR="00145399" w:rsidRPr="00DC5223">
        <w:rPr>
          <w:rFonts w:ascii="Times New Roman" w:hAnsi="Times New Roman" w:cs="Times New Roman"/>
          <w:sz w:val="23"/>
          <w:szCs w:val="23"/>
        </w:rPr>
        <w:t xml:space="preserve">with texts and literature to a method of social research. They allow the context as well as the text to be considered. </w:t>
      </w:r>
    </w:p>
    <w:p w:rsidR="00216B7D" w:rsidRDefault="000172C4" w:rsidP="000172C4">
      <w:pPr>
        <w:rPr>
          <w:rFonts w:ascii="Times New Roman" w:hAnsi="Times New Roman" w:cs="Times New Roman"/>
          <w:sz w:val="23"/>
          <w:szCs w:val="23"/>
        </w:rPr>
      </w:pPr>
      <w:r w:rsidRPr="00DC5223">
        <w:rPr>
          <w:rFonts w:ascii="Times New Roman" w:hAnsi="Times New Roman" w:cs="Times New Roman"/>
          <w:sz w:val="23"/>
          <w:szCs w:val="23"/>
        </w:rPr>
        <w:lastRenderedPageBreak/>
        <w:t>Exposition, clarification and the use of the hermeneutic method has value implications that, true to the hermeneutic method, require</w:t>
      </w:r>
      <w:r w:rsidR="008318E6" w:rsidRPr="00DC5223">
        <w:rPr>
          <w:rFonts w:ascii="Times New Roman" w:hAnsi="Times New Roman" w:cs="Times New Roman"/>
          <w:sz w:val="23"/>
          <w:szCs w:val="23"/>
        </w:rPr>
        <w:t xml:space="preserve"> explicit recognition</w:t>
      </w:r>
      <w:r w:rsidRPr="00DC5223">
        <w:rPr>
          <w:rFonts w:ascii="Times New Roman" w:hAnsi="Times New Roman" w:cs="Times New Roman"/>
          <w:sz w:val="23"/>
          <w:szCs w:val="23"/>
        </w:rPr>
        <w:t xml:space="preserve">. Acceptance of hermeneutics as a set of broad analytical assumptions involves an acceptance of the merits of debate and discussion. In addition, acceptance of hermeneutics in the context of planning theory involves an acceptance of the value of planning, as opposed to a neoliberal acceptance of the market and competition as necessarily the best basis for policy. Acceptance of the value of planning is an assumption that has to be recognised at the outset, but also justified as analysis proceeds. </w:t>
      </w:r>
    </w:p>
    <w:p w:rsidR="000172C4" w:rsidRPr="00DC5223" w:rsidRDefault="000172C4" w:rsidP="000172C4">
      <w:pPr>
        <w:rPr>
          <w:rFonts w:ascii="Times New Roman" w:hAnsi="Times New Roman" w:cs="Times New Roman"/>
          <w:sz w:val="23"/>
          <w:szCs w:val="23"/>
        </w:rPr>
      </w:pPr>
      <w:r w:rsidRPr="00DC5223">
        <w:rPr>
          <w:rFonts w:ascii="Times New Roman" w:hAnsi="Times New Roman" w:cs="Times New Roman"/>
          <w:sz w:val="23"/>
          <w:szCs w:val="23"/>
        </w:rPr>
        <w:t xml:space="preserve">At the same time, hermeneutics as a method of research, and not just of philosophical enquiry, is about planning in context. Both planning and the market appear as historical and social products, so implying a rejection of any assumption of markets as the ‘natural’ order of economic activity, as is </w:t>
      </w:r>
      <w:r w:rsidR="00216B7D">
        <w:rPr>
          <w:rFonts w:ascii="Times New Roman" w:hAnsi="Times New Roman" w:cs="Times New Roman"/>
          <w:sz w:val="23"/>
          <w:szCs w:val="23"/>
        </w:rPr>
        <w:t xml:space="preserve">the </w:t>
      </w:r>
      <w:r w:rsidRPr="00DC5223">
        <w:rPr>
          <w:rFonts w:ascii="Times New Roman" w:hAnsi="Times New Roman" w:cs="Times New Roman"/>
          <w:sz w:val="23"/>
          <w:szCs w:val="23"/>
        </w:rPr>
        <w:t xml:space="preserve">neoliberal assumption. </w:t>
      </w:r>
      <w:r w:rsidR="008318E6" w:rsidRPr="00DC5223">
        <w:rPr>
          <w:rFonts w:ascii="Times New Roman" w:hAnsi="Times New Roman" w:cs="Times New Roman"/>
          <w:sz w:val="23"/>
          <w:szCs w:val="23"/>
        </w:rPr>
        <w:t>As an extension, treating planning and the market as historical and social products means that these should not be treated merely at the level of ideas as an antagonistic dichotomy. Planning and markets interact with one another.</w:t>
      </w:r>
    </w:p>
    <w:p w:rsidR="00805416" w:rsidRDefault="008318E6" w:rsidP="000172C4">
      <w:pPr>
        <w:rPr>
          <w:rFonts w:ascii="Times New Roman" w:hAnsi="Times New Roman" w:cs="Times New Roman"/>
        </w:rPr>
      </w:pPr>
      <w:r w:rsidRPr="00E07870">
        <w:rPr>
          <w:rFonts w:ascii="Times New Roman" w:hAnsi="Times New Roman" w:cs="Times New Roman"/>
        </w:rPr>
        <w:t>References</w:t>
      </w:r>
    </w:p>
    <w:p w:rsidR="00DC5223" w:rsidRPr="00DC5223" w:rsidRDefault="00DC5223" w:rsidP="00DC5223">
      <w:pPr>
        <w:widowControl w:val="0"/>
        <w:suppressAutoHyphens/>
        <w:overflowPunct w:val="0"/>
        <w:autoSpaceDE w:val="0"/>
        <w:spacing w:after="0" w:line="300" w:lineRule="exact"/>
        <w:ind w:left="567" w:hanging="567"/>
        <w:textAlignment w:val="baseline"/>
        <w:rPr>
          <w:rFonts w:ascii="Times New Roman" w:eastAsia="Times New Roman" w:hAnsi="Times New Roman" w:cs="Times New Roman"/>
          <w:kern w:val="23"/>
          <w:sz w:val="23"/>
          <w:szCs w:val="23"/>
          <w:lang w:val="en-US" w:eastAsia="en-GB"/>
        </w:rPr>
      </w:pPr>
      <w:r w:rsidRPr="00DC5223">
        <w:rPr>
          <w:rFonts w:ascii="Times New Roman" w:eastAsia="Times New Roman" w:hAnsi="Times New Roman" w:cs="Times New Roman"/>
          <w:kern w:val="23"/>
          <w:sz w:val="23"/>
          <w:szCs w:val="23"/>
          <w:lang w:val="en-US" w:eastAsia="en-GB"/>
        </w:rPr>
        <w:t xml:space="preserve">Alvesson M. and </w:t>
      </w:r>
      <w:proofErr w:type="spellStart"/>
      <w:r w:rsidRPr="00DC5223">
        <w:rPr>
          <w:rFonts w:ascii="Times New Roman" w:eastAsia="Times New Roman" w:hAnsi="Times New Roman" w:cs="Times New Roman"/>
          <w:kern w:val="23"/>
          <w:sz w:val="23"/>
          <w:szCs w:val="23"/>
          <w:lang w:val="en-US" w:eastAsia="en-GB"/>
        </w:rPr>
        <w:t>Sköldberg</w:t>
      </w:r>
      <w:proofErr w:type="spellEnd"/>
      <w:r w:rsidRPr="00DC5223">
        <w:rPr>
          <w:rFonts w:ascii="Times New Roman" w:eastAsia="Times New Roman" w:hAnsi="Times New Roman" w:cs="Times New Roman"/>
          <w:kern w:val="23"/>
          <w:sz w:val="23"/>
          <w:szCs w:val="23"/>
          <w:lang w:val="en-US" w:eastAsia="en-GB"/>
        </w:rPr>
        <w:t xml:space="preserve"> K. (2008) </w:t>
      </w:r>
      <w:r w:rsidRPr="00DC5223">
        <w:rPr>
          <w:rFonts w:ascii="Times New Roman" w:eastAsia="Times New Roman" w:hAnsi="Times New Roman" w:cs="Times New Roman"/>
          <w:i/>
          <w:kern w:val="23"/>
          <w:sz w:val="23"/>
          <w:szCs w:val="23"/>
          <w:lang w:val="en-US" w:eastAsia="en-GB"/>
        </w:rPr>
        <w:t>Reflexive Methodology</w:t>
      </w:r>
      <w:r w:rsidRPr="00DC5223">
        <w:rPr>
          <w:rFonts w:ascii="Times New Roman" w:eastAsia="Times New Roman" w:hAnsi="Times New Roman" w:cs="Times New Roman"/>
          <w:kern w:val="23"/>
          <w:sz w:val="23"/>
          <w:szCs w:val="23"/>
          <w:lang w:val="en-US" w:eastAsia="en-GB"/>
        </w:rPr>
        <w:t>, London, Sage.</w:t>
      </w:r>
    </w:p>
    <w:p w:rsidR="00E07870" w:rsidRPr="00E07870" w:rsidRDefault="00E07870" w:rsidP="00E07870">
      <w:pPr>
        <w:widowControl w:val="0"/>
        <w:suppressAutoHyphens/>
        <w:overflowPunct w:val="0"/>
        <w:autoSpaceDE w:val="0"/>
        <w:spacing w:after="0" w:line="300" w:lineRule="exact"/>
        <w:ind w:left="567" w:hanging="567"/>
        <w:textAlignment w:val="baseline"/>
        <w:rPr>
          <w:rFonts w:ascii="Times New Roman" w:eastAsia="Times New Roman" w:hAnsi="Times New Roman" w:cs="Times New Roman"/>
          <w:kern w:val="23"/>
          <w:sz w:val="23"/>
          <w:szCs w:val="23"/>
          <w:lang w:val="en-US" w:eastAsia="en-GB"/>
        </w:rPr>
      </w:pPr>
      <w:proofErr w:type="spellStart"/>
      <w:r w:rsidRPr="00E07870">
        <w:rPr>
          <w:rFonts w:ascii="Times New Roman" w:eastAsia="Times New Roman" w:hAnsi="Times New Roman" w:cs="Times New Roman"/>
          <w:kern w:val="23"/>
          <w:sz w:val="23"/>
          <w:szCs w:val="23"/>
          <w:lang w:val="en-US" w:eastAsia="en-GB"/>
        </w:rPr>
        <w:t>Fainstein</w:t>
      </w:r>
      <w:proofErr w:type="spellEnd"/>
      <w:r w:rsidRPr="00E07870">
        <w:rPr>
          <w:rFonts w:ascii="Times New Roman" w:eastAsia="Times New Roman" w:hAnsi="Times New Roman" w:cs="Times New Roman"/>
          <w:kern w:val="23"/>
          <w:sz w:val="23"/>
          <w:szCs w:val="23"/>
          <w:lang w:val="en-US" w:eastAsia="en-GB"/>
        </w:rPr>
        <w:t xml:space="preserve">, S.S. (2000) ‘New directions in planning theory’. </w:t>
      </w:r>
      <w:r w:rsidRPr="00E07870">
        <w:rPr>
          <w:rFonts w:ascii="Times New Roman" w:eastAsia="Times New Roman" w:hAnsi="Times New Roman" w:cs="Times New Roman"/>
          <w:i/>
          <w:iCs/>
          <w:kern w:val="23"/>
          <w:sz w:val="23"/>
          <w:szCs w:val="23"/>
          <w:lang w:val="en-US" w:eastAsia="en-GB"/>
        </w:rPr>
        <w:t xml:space="preserve">Urban Affairs Review </w:t>
      </w:r>
      <w:r w:rsidRPr="00E07870">
        <w:rPr>
          <w:rFonts w:ascii="Times New Roman" w:eastAsia="Times New Roman" w:hAnsi="Times New Roman" w:cs="Times New Roman"/>
          <w:kern w:val="23"/>
          <w:sz w:val="23"/>
          <w:szCs w:val="23"/>
          <w:lang w:val="en-US" w:eastAsia="en-GB"/>
        </w:rPr>
        <w:t>35:4, 451–78.</w:t>
      </w:r>
    </w:p>
    <w:p w:rsidR="00DC5223" w:rsidRPr="00DC5223" w:rsidRDefault="00DC5223" w:rsidP="00DC5223">
      <w:pPr>
        <w:pStyle w:val="reference"/>
        <w:rPr>
          <w:rFonts w:ascii="Times New Roman" w:hAnsi="Times New Roman"/>
          <w:sz w:val="23"/>
          <w:szCs w:val="23"/>
        </w:rPr>
      </w:pPr>
      <w:r w:rsidRPr="00DC5223">
        <w:rPr>
          <w:rFonts w:ascii="Times New Roman" w:hAnsi="Times New Roman"/>
          <w:sz w:val="23"/>
          <w:szCs w:val="23"/>
        </w:rPr>
        <w:t xml:space="preserve">Giddens, A. (1984) ‘Hermeneutics and social theory’ in Shapiro, G and </w:t>
      </w:r>
      <w:proofErr w:type="spellStart"/>
      <w:r w:rsidRPr="00DC5223">
        <w:rPr>
          <w:rFonts w:ascii="Times New Roman" w:hAnsi="Times New Roman"/>
          <w:sz w:val="23"/>
          <w:szCs w:val="23"/>
        </w:rPr>
        <w:t>Sica</w:t>
      </w:r>
      <w:proofErr w:type="spellEnd"/>
      <w:r w:rsidRPr="00DC5223">
        <w:rPr>
          <w:rFonts w:ascii="Times New Roman" w:hAnsi="Times New Roman"/>
          <w:sz w:val="23"/>
          <w:szCs w:val="23"/>
        </w:rPr>
        <w:t xml:space="preserve">, A. (eds.) </w:t>
      </w:r>
      <w:r w:rsidRPr="00DC5223">
        <w:rPr>
          <w:rFonts w:ascii="Times New Roman" w:hAnsi="Times New Roman"/>
          <w:i/>
          <w:sz w:val="23"/>
          <w:szCs w:val="23"/>
        </w:rPr>
        <w:t>Hermeneutics: Questions and Prospects</w:t>
      </w:r>
      <w:r w:rsidRPr="00DC5223">
        <w:rPr>
          <w:rFonts w:ascii="Times New Roman" w:hAnsi="Times New Roman"/>
          <w:sz w:val="23"/>
          <w:szCs w:val="23"/>
        </w:rPr>
        <w:t>, University of Massachusetts Press, 215-230.</w:t>
      </w:r>
    </w:p>
    <w:p w:rsidR="00E07870" w:rsidRPr="00DC5223" w:rsidRDefault="00E07870" w:rsidP="00E07870">
      <w:pPr>
        <w:pStyle w:val="reference"/>
        <w:rPr>
          <w:rFonts w:ascii="Times New Roman" w:hAnsi="Times New Roman"/>
          <w:sz w:val="23"/>
          <w:szCs w:val="23"/>
        </w:rPr>
      </w:pPr>
      <w:r w:rsidRPr="00DC5223">
        <w:rPr>
          <w:rFonts w:ascii="Times New Roman" w:hAnsi="Times New Roman"/>
          <w:sz w:val="23"/>
          <w:szCs w:val="23"/>
        </w:rPr>
        <w:t>Healey, P. (1997) Collaborative Planning: Shaping Places in Fragmented Societies Basingstoke: Macmillan.</w:t>
      </w:r>
    </w:p>
    <w:p w:rsidR="00E07870" w:rsidRPr="00DC5223" w:rsidRDefault="00E07870" w:rsidP="00E07870">
      <w:pPr>
        <w:pStyle w:val="reference"/>
        <w:rPr>
          <w:rFonts w:ascii="Times New Roman" w:hAnsi="Times New Roman"/>
          <w:sz w:val="23"/>
          <w:szCs w:val="23"/>
        </w:rPr>
      </w:pPr>
      <w:proofErr w:type="spellStart"/>
      <w:r w:rsidRPr="00DC5223">
        <w:rPr>
          <w:rFonts w:ascii="Times New Roman" w:hAnsi="Times New Roman"/>
          <w:sz w:val="23"/>
          <w:szCs w:val="23"/>
        </w:rPr>
        <w:t>Pallagst</w:t>
      </w:r>
      <w:proofErr w:type="spellEnd"/>
      <w:r w:rsidRPr="00DC5223">
        <w:rPr>
          <w:rFonts w:ascii="Times New Roman" w:hAnsi="Times New Roman"/>
          <w:sz w:val="23"/>
          <w:szCs w:val="23"/>
        </w:rPr>
        <w:t xml:space="preserve">, K. (2012) </w:t>
      </w:r>
      <w:r w:rsidRPr="00DC5223">
        <w:rPr>
          <w:rFonts w:ascii="Times New Roman" w:hAnsi="Times New Roman"/>
          <w:i/>
          <w:sz w:val="23"/>
          <w:szCs w:val="23"/>
        </w:rPr>
        <w:t>Growth management in the US: Between theory and practice</w:t>
      </w:r>
      <w:r w:rsidRPr="00DC5223">
        <w:rPr>
          <w:rFonts w:ascii="Times New Roman" w:hAnsi="Times New Roman"/>
          <w:sz w:val="23"/>
          <w:szCs w:val="23"/>
        </w:rPr>
        <w:t xml:space="preserve"> </w:t>
      </w:r>
      <w:proofErr w:type="spellStart"/>
      <w:r w:rsidRPr="00DC5223">
        <w:rPr>
          <w:rFonts w:ascii="Times New Roman" w:hAnsi="Times New Roman"/>
          <w:sz w:val="23"/>
          <w:szCs w:val="23"/>
        </w:rPr>
        <w:t>Ashgate</w:t>
      </w:r>
      <w:proofErr w:type="spellEnd"/>
      <w:r w:rsidRPr="00DC5223">
        <w:rPr>
          <w:rFonts w:ascii="Times New Roman" w:hAnsi="Times New Roman"/>
          <w:sz w:val="23"/>
          <w:szCs w:val="23"/>
        </w:rPr>
        <w:t xml:space="preserve"> Publishing, </w:t>
      </w:r>
      <w:proofErr w:type="gramStart"/>
      <w:r w:rsidRPr="00DC5223">
        <w:rPr>
          <w:rFonts w:ascii="Times New Roman" w:hAnsi="Times New Roman"/>
          <w:sz w:val="23"/>
          <w:szCs w:val="23"/>
        </w:rPr>
        <w:t>Ltd..</w:t>
      </w:r>
      <w:proofErr w:type="gramEnd"/>
    </w:p>
    <w:p w:rsidR="00DC5223" w:rsidRPr="00DC5223" w:rsidRDefault="00DC5223" w:rsidP="00DC5223">
      <w:pPr>
        <w:pStyle w:val="reference"/>
        <w:rPr>
          <w:rFonts w:ascii="Times New Roman" w:hAnsi="Times New Roman"/>
          <w:sz w:val="23"/>
          <w:szCs w:val="23"/>
        </w:rPr>
      </w:pPr>
      <w:proofErr w:type="spellStart"/>
      <w:r w:rsidRPr="00DC5223">
        <w:rPr>
          <w:rFonts w:ascii="Times New Roman" w:hAnsi="Times New Roman"/>
          <w:sz w:val="23"/>
          <w:szCs w:val="23"/>
        </w:rPr>
        <w:t>Ricoeur</w:t>
      </w:r>
      <w:proofErr w:type="spellEnd"/>
      <w:r w:rsidRPr="00DC5223">
        <w:rPr>
          <w:rFonts w:ascii="Times New Roman" w:hAnsi="Times New Roman"/>
          <w:sz w:val="23"/>
          <w:szCs w:val="23"/>
        </w:rPr>
        <w:t xml:space="preserve">, P. (2004) </w:t>
      </w:r>
      <w:proofErr w:type="gramStart"/>
      <w:r w:rsidRPr="00DC5223">
        <w:rPr>
          <w:rFonts w:ascii="Times New Roman" w:hAnsi="Times New Roman"/>
          <w:i/>
          <w:sz w:val="23"/>
          <w:szCs w:val="23"/>
        </w:rPr>
        <w:t>The</w:t>
      </w:r>
      <w:proofErr w:type="gramEnd"/>
      <w:r w:rsidRPr="00DC5223">
        <w:rPr>
          <w:rFonts w:ascii="Times New Roman" w:hAnsi="Times New Roman"/>
          <w:i/>
          <w:sz w:val="23"/>
          <w:szCs w:val="23"/>
        </w:rPr>
        <w:t xml:space="preserve"> conflict of interpretations: essays in hermeneutics</w:t>
      </w:r>
      <w:r w:rsidRPr="00DC5223">
        <w:rPr>
          <w:rFonts w:ascii="Times New Roman" w:hAnsi="Times New Roman"/>
          <w:sz w:val="23"/>
          <w:szCs w:val="23"/>
        </w:rPr>
        <w:t xml:space="preserve"> Continuum Publications, London (First published in Britain in 1989: French original 1969)</w:t>
      </w:r>
    </w:p>
    <w:p w:rsidR="00E07870" w:rsidRPr="00DC5223" w:rsidRDefault="00E07870" w:rsidP="00E07870">
      <w:pPr>
        <w:pStyle w:val="reference"/>
        <w:rPr>
          <w:rFonts w:ascii="Times New Roman" w:hAnsi="Times New Roman"/>
          <w:sz w:val="23"/>
          <w:szCs w:val="23"/>
        </w:rPr>
      </w:pPr>
      <w:r w:rsidRPr="00DC5223">
        <w:rPr>
          <w:rFonts w:ascii="Times New Roman" w:hAnsi="Times New Roman"/>
          <w:sz w:val="23"/>
          <w:szCs w:val="23"/>
        </w:rPr>
        <w:t xml:space="preserve">Rydin, Y.  </w:t>
      </w:r>
      <w:r w:rsidRPr="00DC5223">
        <w:rPr>
          <w:rFonts w:ascii="Times New Roman" w:hAnsi="Times New Roman"/>
          <w:sz w:val="23"/>
          <w:szCs w:val="23"/>
          <w:lang w:eastAsia="en-GB"/>
        </w:rPr>
        <w:t xml:space="preserve">(2014). </w:t>
      </w:r>
      <w:proofErr w:type="gramStart"/>
      <w:r w:rsidRPr="00DC5223">
        <w:rPr>
          <w:rFonts w:ascii="Times New Roman" w:hAnsi="Times New Roman"/>
          <w:sz w:val="23"/>
          <w:szCs w:val="23"/>
          <w:lang w:eastAsia="en-GB"/>
        </w:rPr>
        <w:t>The</w:t>
      </w:r>
      <w:proofErr w:type="gramEnd"/>
      <w:r w:rsidRPr="00DC5223">
        <w:rPr>
          <w:rFonts w:ascii="Times New Roman" w:hAnsi="Times New Roman"/>
          <w:sz w:val="23"/>
          <w:szCs w:val="23"/>
          <w:lang w:eastAsia="en-GB"/>
        </w:rPr>
        <w:t xml:space="preserve"> challenges of the “material turn” for planning studies. </w:t>
      </w:r>
      <w:r w:rsidRPr="00DC5223">
        <w:rPr>
          <w:rFonts w:ascii="Times New Roman" w:hAnsi="Times New Roman"/>
          <w:i/>
          <w:iCs/>
          <w:sz w:val="23"/>
          <w:szCs w:val="23"/>
          <w:lang w:eastAsia="en-GB"/>
        </w:rPr>
        <w:t>Planning Theory &amp; Practice</w:t>
      </w:r>
      <w:r w:rsidRPr="00DC5223">
        <w:rPr>
          <w:rFonts w:ascii="Times New Roman" w:hAnsi="Times New Roman"/>
          <w:sz w:val="23"/>
          <w:szCs w:val="23"/>
          <w:lang w:eastAsia="en-GB"/>
        </w:rPr>
        <w:t>, (ahead-of-print), 1-6.</w:t>
      </w:r>
    </w:p>
    <w:p w:rsidR="00E07870" w:rsidRPr="00DC5223" w:rsidRDefault="00E07870" w:rsidP="000172C4">
      <w:pPr>
        <w:rPr>
          <w:rFonts w:ascii="Times New Roman" w:hAnsi="Times New Roman" w:cs="Times New Roman"/>
          <w:sz w:val="23"/>
          <w:szCs w:val="23"/>
        </w:rPr>
      </w:pPr>
    </w:p>
    <w:sectPr w:rsidR="00E07870" w:rsidRPr="00DC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910"/>
    <w:multiLevelType w:val="hybridMultilevel"/>
    <w:tmpl w:val="49D00058"/>
    <w:lvl w:ilvl="0" w:tplc="924A9910">
      <w:start w:val="1"/>
      <w:numFmt w:val="bullet"/>
      <w:pStyle w:val="reference-dash"/>
      <w:lvlText w:val=""/>
      <w:lvlJc w:val="left"/>
      <w:pPr>
        <w:ind w:left="1069"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A9"/>
    <w:rsid w:val="000172C4"/>
    <w:rsid w:val="00106A39"/>
    <w:rsid w:val="00145399"/>
    <w:rsid w:val="00216B7D"/>
    <w:rsid w:val="003672DA"/>
    <w:rsid w:val="00414EF3"/>
    <w:rsid w:val="00734DA9"/>
    <w:rsid w:val="007A1E0B"/>
    <w:rsid w:val="00805416"/>
    <w:rsid w:val="008318E6"/>
    <w:rsid w:val="00A209B1"/>
    <w:rsid w:val="00C46CA9"/>
    <w:rsid w:val="00DC5223"/>
    <w:rsid w:val="00E0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3E63C-AB1C-4BFF-A544-142FFA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dash">
    <w:name w:val="reference-dash"/>
    <w:basedOn w:val="reference"/>
    <w:qFormat/>
    <w:rsid w:val="00E07870"/>
    <w:pPr>
      <w:numPr>
        <w:numId w:val="1"/>
      </w:numPr>
      <w:tabs>
        <w:tab w:val="num" w:pos="360"/>
      </w:tabs>
      <w:ind w:left="567" w:hanging="567"/>
    </w:pPr>
  </w:style>
  <w:style w:type="paragraph" w:customStyle="1" w:styleId="reference">
    <w:name w:val="reference"/>
    <w:basedOn w:val="Normal"/>
    <w:link w:val="referenceChar1"/>
    <w:qFormat/>
    <w:rsid w:val="00E07870"/>
    <w:pPr>
      <w:widowControl w:val="0"/>
      <w:suppressAutoHyphens/>
      <w:overflowPunct w:val="0"/>
      <w:autoSpaceDE w:val="0"/>
      <w:spacing w:after="0" w:line="300" w:lineRule="exact"/>
      <w:ind w:left="567" w:hanging="567"/>
      <w:textAlignment w:val="baseline"/>
    </w:pPr>
    <w:rPr>
      <w:rFonts w:ascii="Gill Sans MT" w:eastAsia="Times New Roman" w:hAnsi="Gill Sans MT" w:cs="Times New Roman"/>
      <w:kern w:val="23"/>
      <w:sz w:val="25"/>
      <w:szCs w:val="25"/>
      <w:lang w:val="en-US" w:eastAsia="ar-SA"/>
    </w:rPr>
  </w:style>
  <w:style w:type="character" w:customStyle="1" w:styleId="referenceChar1">
    <w:name w:val="reference Char1"/>
    <w:link w:val="reference"/>
    <w:rsid w:val="00E07870"/>
    <w:rPr>
      <w:rFonts w:ascii="Gill Sans MT" w:eastAsia="Times New Roman" w:hAnsi="Gill Sans MT" w:cs="Times New Roman"/>
      <w:kern w:val="23"/>
      <w:sz w:val="25"/>
      <w:szCs w:val="2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5015</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Goodchild</dc:creator>
  <cp:keywords/>
  <dc:description/>
  <cp:lastModifiedBy>Barry Goodchild</cp:lastModifiedBy>
  <cp:revision>2</cp:revision>
  <dcterms:created xsi:type="dcterms:W3CDTF">2015-10-13T15:17:00Z</dcterms:created>
  <dcterms:modified xsi:type="dcterms:W3CDTF">2015-10-13T15:17:00Z</dcterms:modified>
</cp:coreProperties>
</file>