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BC" w:rsidRPr="006B642B" w:rsidRDefault="000F6E84" w:rsidP="006B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t>Rehabilitation of informal housing</w:t>
      </w:r>
      <w:r w:rsidR="00B024C4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the economic and financial sustainability perspective</w:t>
      </w:r>
    </w:p>
    <w:p w:rsidR="00B024C4" w:rsidRPr="006B642B" w:rsidRDefault="00B024C4" w:rsidP="006B64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B024C4" w:rsidRPr="006B642B" w:rsidRDefault="00B024C4" w:rsidP="006B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Emília Malcata </w:t>
      </w:r>
      <w:proofErr w:type="spellStart"/>
      <w:r w:rsidRPr="006B642B">
        <w:rPr>
          <w:rFonts w:ascii="Times New Roman" w:hAnsi="Times New Roman" w:cs="Times New Roman"/>
          <w:sz w:val="24"/>
          <w:szCs w:val="24"/>
          <w:lang w:val="en-GB"/>
        </w:rPr>
        <w:t>Rebelo</w:t>
      </w:r>
      <w:proofErr w:type="spellEnd"/>
    </w:p>
    <w:p w:rsidR="00B024C4" w:rsidRPr="006B642B" w:rsidRDefault="00FA5D2D" w:rsidP="006B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Porto University, Territorial Planning and Environment Division, </w:t>
      </w:r>
      <w:r w:rsidR="00B024C4" w:rsidRPr="006B642B">
        <w:rPr>
          <w:rFonts w:ascii="Times New Roman" w:hAnsi="Times New Roman" w:cs="Times New Roman"/>
          <w:sz w:val="24"/>
          <w:szCs w:val="24"/>
          <w:lang w:val="en-GB"/>
        </w:rPr>
        <w:t>CITTA</w:t>
      </w:r>
    </w:p>
    <w:p w:rsidR="00B024C4" w:rsidRPr="006B642B" w:rsidRDefault="00B024C4" w:rsidP="006B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F7488" w:rsidRPr="006B642B" w:rsidRDefault="000F6E84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t>There are traditionally many disadvantaged and vulnerable families that live</w:t>
      </w:r>
      <w:r w:rsidR="00D40D6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in under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3F66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comfort-housing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conditions </w:t>
      </w:r>
      <w:r w:rsidR="003348FA" w:rsidRPr="006B642B">
        <w:rPr>
          <w:rFonts w:ascii="Times New Roman" w:hAnsi="Times New Roman" w:cs="Times New Roman"/>
          <w:sz w:val="24"/>
          <w:szCs w:val="24"/>
          <w:lang w:val="en-GB"/>
        </w:rPr>
        <w:t>in city</w:t>
      </w:r>
      <w:r w:rsidR="00483F66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centres</w:t>
      </w:r>
      <w:r w:rsidR="006E5B30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83F66" w:rsidRPr="006B642B">
        <w:rPr>
          <w:rFonts w:ascii="Times New Roman" w:hAnsi="Times New Roman" w:cs="Times New Roman"/>
          <w:sz w:val="24"/>
          <w:szCs w:val="24"/>
          <w:lang w:val="en-GB"/>
        </w:rPr>
        <w:t>This communication presents the goals, methodology, outcomes and conclusions of a technical, economic and financial study that assesses how to provide better dwelling conditions to th</w:t>
      </w:r>
      <w:r w:rsidR="003348FA" w:rsidRPr="006B642B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483F66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48FA" w:rsidRPr="006B642B">
        <w:rPr>
          <w:rFonts w:ascii="Times New Roman" w:hAnsi="Times New Roman" w:cs="Times New Roman"/>
          <w:sz w:val="24"/>
          <w:szCs w:val="24"/>
          <w:lang w:val="en-GB"/>
        </w:rPr>
        <w:t>people</w:t>
      </w:r>
      <w:r w:rsidR="00483F66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through urban rehabilitation operations</w:t>
      </w:r>
      <w:r w:rsidR="006E5B30" w:rsidRPr="006B642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83F66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assuring their stay in the places they traditionally inhabit</w:t>
      </w:r>
      <w:r w:rsidR="006E5B30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83F66" w:rsidRPr="006B642B">
        <w:rPr>
          <w:rFonts w:ascii="Times New Roman" w:hAnsi="Times New Roman" w:cs="Times New Roman"/>
          <w:sz w:val="24"/>
          <w:szCs w:val="24"/>
          <w:lang w:val="en-GB"/>
        </w:rPr>
        <w:t>The current consultancy study</w:t>
      </w:r>
      <w:r w:rsidR="003324AE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3F66" w:rsidRPr="006B642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324AE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3F66" w:rsidRPr="006B642B">
        <w:rPr>
          <w:rFonts w:ascii="Times New Roman" w:hAnsi="Times New Roman" w:cs="Times New Roman"/>
          <w:sz w:val="24"/>
          <w:szCs w:val="24"/>
          <w:lang w:val="en-GB"/>
        </w:rPr>
        <w:t>delivered to Porto town council</w:t>
      </w:r>
      <w:r w:rsidR="003324AE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(Portugal) – </w:t>
      </w:r>
      <w:r w:rsidR="00862EEB" w:rsidRPr="006B642B">
        <w:rPr>
          <w:rFonts w:ascii="Times New Roman" w:hAnsi="Times New Roman" w:cs="Times New Roman"/>
          <w:sz w:val="24"/>
          <w:szCs w:val="24"/>
          <w:lang w:val="en-GB"/>
        </w:rPr>
        <w:t>is applied, as a case study, to a set of “islands</w:t>
      </w:r>
      <w:r w:rsidR="003324AE" w:rsidRPr="006B642B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3324AE" w:rsidRPr="006B642B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6E5B30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62EEB" w:rsidRPr="006B642B">
        <w:rPr>
          <w:rFonts w:ascii="Times New Roman" w:hAnsi="Times New Roman" w:cs="Times New Roman"/>
          <w:sz w:val="24"/>
          <w:szCs w:val="24"/>
          <w:lang w:val="en-GB"/>
        </w:rPr>
        <w:t>located in the urban rehabilitation area of</w:t>
      </w:r>
      <w:r w:rsidR="00EF748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Santos </w:t>
      </w:r>
      <w:proofErr w:type="spellStart"/>
      <w:r w:rsidR="00EF7488" w:rsidRPr="006B642B">
        <w:rPr>
          <w:rFonts w:ascii="Times New Roman" w:hAnsi="Times New Roman" w:cs="Times New Roman"/>
          <w:sz w:val="24"/>
          <w:szCs w:val="24"/>
          <w:lang w:val="en-GB"/>
        </w:rPr>
        <w:t>Pousada</w:t>
      </w:r>
      <w:proofErr w:type="spellEnd"/>
      <w:r w:rsidR="00EF748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62EEB" w:rsidRPr="006B642B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EF748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Porto</w:t>
      </w:r>
      <w:r w:rsidR="00862EEB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city</w:t>
      </w:r>
      <w:r w:rsidR="001E2C03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bookmarkStart w:id="0" w:name="_GoBack"/>
      <w:bookmarkEnd w:id="0"/>
    </w:p>
    <w:p w:rsidR="00B024C4" w:rsidRPr="006B642B" w:rsidRDefault="00862EEB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t>The economic and financial feasibility study herein presented shows that</w:t>
      </w:r>
      <w:r w:rsidR="00303DD0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within the Portuguese and Porto currently enforced urban rehabilitation and planning legislation</w:t>
      </w:r>
      <w:r w:rsidR="00F05E6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the application of the financial tool “</w:t>
      </w:r>
      <w:r w:rsidR="00DB3468" w:rsidRPr="006B642B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ehabilitation to rent – affordable housing”</w:t>
      </w:r>
      <w:r w:rsidRPr="006B642B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2"/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06E9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recently passed</w:t>
      </w:r>
      <w:r w:rsidR="00F05E6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06E9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DB3468" w:rsidRPr="006B642B">
        <w:rPr>
          <w:rFonts w:ascii="Times New Roman" w:hAnsi="Times New Roman" w:cs="Times New Roman"/>
          <w:sz w:val="24"/>
          <w:szCs w:val="24"/>
          <w:lang w:val="en-GB"/>
        </w:rPr>
        <w:t>turns possible the rehabilitation of these “islands”</w:t>
      </w:r>
      <w:r w:rsidR="006860EE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in a social-oriented way</w:t>
      </w:r>
      <w:r w:rsidR="00DB3468" w:rsidRPr="006B642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03DD0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4AD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This rehabilitation intervention should be mastered by the municipal powers, namely in what concerns the provision of management services, and the facilitation of </w:t>
      </w:r>
      <w:r w:rsidR="00911C10" w:rsidRPr="006B642B">
        <w:rPr>
          <w:rFonts w:ascii="Times New Roman" w:hAnsi="Times New Roman" w:cs="Times New Roman"/>
          <w:sz w:val="24"/>
          <w:szCs w:val="24"/>
          <w:lang w:val="en-GB"/>
        </w:rPr>
        <w:t>trade-offs</w:t>
      </w:r>
      <w:r w:rsidR="00054AD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among the involved stakeholders. </w:t>
      </w:r>
      <w:r w:rsidR="00DB346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Besides assuring the required social cohesion and all </w:t>
      </w:r>
      <w:r w:rsidR="00B17EC1" w:rsidRPr="006B642B">
        <w:rPr>
          <w:rFonts w:ascii="Times New Roman" w:hAnsi="Times New Roman" w:cs="Times New Roman"/>
          <w:sz w:val="24"/>
          <w:szCs w:val="24"/>
          <w:lang w:val="en-GB"/>
        </w:rPr>
        <w:t>citizens’</w:t>
      </w:r>
      <w:r w:rsidR="00DB346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equal treatment</w:t>
      </w:r>
      <w:r w:rsidR="00303DD0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B3468" w:rsidRPr="006B642B">
        <w:rPr>
          <w:rFonts w:ascii="Times New Roman" w:hAnsi="Times New Roman" w:cs="Times New Roman"/>
          <w:sz w:val="24"/>
          <w:szCs w:val="24"/>
          <w:lang w:val="en-GB"/>
        </w:rPr>
        <w:t>it is also sustainable from</w:t>
      </w:r>
      <w:r w:rsidR="00D40D6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an econom</w:t>
      </w:r>
      <w:r w:rsidR="00DB3468" w:rsidRPr="006B642B">
        <w:rPr>
          <w:rFonts w:ascii="Times New Roman" w:hAnsi="Times New Roman" w:cs="Times New Roman"/>
          <w:sz w:val="24"/>
          <w:szCs w:val="24"/>
          <w:lang w:val="en-GB"/>
        </w:rPr>
        <w:t>ic and financial standpoint, what is more and more relevant within the current financial-crisis framework</w:t>
      </w:r>
      <w:r w:rsidR="00303DD0" w:rsidRPr="006B642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54AD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30F95" w:rsidRPr="006B642B" w:rsidRDefault="00D40D68" w:rsidP="006B64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t>The methodology is pursued through the following steps</w:t>
      </w:r>
      <w:r w:rsidR="00303DD0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: (a)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quantitative local data collection</w:t>
      </w:r>
      <w:r w:rsidR="00303DD0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7EC1" w:rsidRPr="006B642B">
        <w:rPr>
          <w:rFonts w:ascii="Times New Roman" w:hAnsi="Times New Roman" w:cs="Times New Roman"/>
          <w:sz w:val="24"/>
          <w:szCs w:val="24"/>
          <w:lang w:val="en-GB"/>
        </w:rPr>
        <w:t>and population surveys</w:t>
      </w:r>
      <w:r w:rsidR="00303DD0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1AFA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(b) </w:t>
      </w:r>
      <w:r w:rsidR="00B02469" w:rsidRPr="006B642B">
        <w:rPr>
          <w:rFonts w:ascii="Times New Roman" w:hAnsi="Times New Roman" w:cs="Times New Roman"/>
          <w:sz w:val="24"/>
          <w:szCs w:val="24"/>
          <w:lang w:val="en-GB"/>
        </w:rPr>
        <w:t>proposal of a physical intervention in dwelling rehabilitation</w:t>
      </w:r>
      <w:r w:rsidR="00161AFA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60EE" w:rsidRPr="006B642B">
        <w:rPr>
          <w:rFonts w:ascii="Times New Roman" w:hAnsi="Times New Roman" w:cs="Times New Roman"/>
          <w:sz w:val="24"/>
          <w:szCs w:val="24"/>
          <w:lang w:val="en-GB"/>
        </w:rPr>
        <w:t>providing resident families</w:t>
      </w:r>
      <w:r w:rsidR="00B02469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with a warranted surface between 50 and</w:t>
      </w:r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60 </w:t>
      </w:r>
      <w:r w:rsidR="00B02469" w:rsidRPr="006B642B">
        <w:rPr>
          <w:rFonts w:ascii="Times New Roman" w:hAnsi="Times New Roman" w:cs="Times New Roman"/>
          <w:sz w:val="24"/>
          <w:szCs w:val="24"/>
          <w:lang w:val="en-GB"/>
        </w:rPr>
        <w:t>square meters</w:t>
      </w:r>
      <w:r w:rsidR="00B02469" w:rsidRPr="006B642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3"/>
      </w:r>
      <w:r w:rsidR="00F05E6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82D20" w:rsidRPr="006B642B">
        <w:rPr>
          <w:rFonts w:ascii="Times New Roman" w:hAnsi="Times New Roman" w:cs="Times New Roman"/>
          <w:sz w:val="24"/>
          <w:szCs w:val="24"/>
          <w:lang w:val="en-GB"/>
        </w:rPr>
        <w:t>and assuring</w:t>
      </w:r>
      <w:r w:rsidR="00B02469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as far as possible that most families remain in the “islands”</w:t>
      </w:r>
      <w:r w:rsidR="003F1CE9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wh</w:t>
      </w:r>
      <w:r w:rsidR="00B02469" w:rsidRPr="006B642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07CD9" w:rsidRPr="006B642B">
        <w:rPr>
          <w:rFonts w:ascii="Times New Roman" w:hAnsi="Times New Roman" w:cs="Times New Roman"/>
          <w:sz w:val="24"/>
          <w:szCs w:val="24"/>
          <w:lang w:val="en-GB"/>
        </w:rPr>
        <w:t>re they</w:t>
      </w:r>
      <w:r w:rsidR="00B02469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currently live</w:t>
      </w:r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161AFA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(c) </w:t>
      </w:r>
      <w:r w:rsidR="00B02469" w:rsidRPr="006B642B">
        <w:rPr>
          <w:rFonts w:ascii="Times New Roman" w:hAnsi="Times New Roman" w:cs="Times New Roman"/>
          <w:sz w:val="24"/>
          <w:szCs w:val="24"/>
          <w:lang w:val="en-GB"/>
        </w:rPr>
        <w:t>identification, according to this proposal</w:t>
      </w:r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23FAD" w:rsidRPr="006B642B">
        <w:rPr>
          <w:rFonts w:ascii="Times New Roman" w:hAnsi="Times New Roman" w:cs="Times New Roman"/>
          <w:sz w:val="24"/>
          <w:szCs w:val="24"/>
          <w:lang w:val="en-GB"/>
        </w:rPr>
        <w:t>of the number pf new dwellings that will become unoccupied and, therefore, integrate a “</w:t>
      </w:r>
      <w:r w:rsidR="003F1CE9" w:rsidRPr="006B642B">
        <w:rPr>
          <w:rFonts w:ascii="Times New Roman" w:hAnsi="Times New Roman" w:cs="Times New Roman"/>
          <w:sz w:val="24"/>
          <w:szCs w:val="24"/>
          <w:lang w:val="en-GB"/>
        </w:rPr>
        <w:t>dw</w:t>
      </w:r>
      <w:r w:rsidR="00523FAD" w:rsidRPr="006B642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F1CE9" w:rsidRPr="006B642B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523FAD" w:rsidRPr="006B642B">
        <w:rPr>
          <w:rFonts w:ascii="Times New Roman" w:hAnsi="Times New Roman" w:cs="Times New Roman"/>
          <w:sz w:val="24"/>
          <w:szCs w:val="24"/>
          <w:lang w:val="en-GB"/>
        </w:rPr>
        <w:t>ling repository” to manage in order to somehow cover at least part of the rehabilitation costs</w:t>
      </w:r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; (d) </w:t>
      </w:r>
      <w:r w:rsidR="00523FAD" w:rsidRPr="006B642B">
        <w:rPr>
          <w:rFonts w:ascii="Times New Roman" w:hAnsi="Times New Roman" w:cs="Times New Roman"/>
          <w:sz w:val="24"/>
          <w:szCs w:val="24"/>
          <w:lang w:val="en-GB"/>
        </w:rPr>
        <w:t>assessment of the intervention</w:t>
      </w:r>
      <w:r w:rsidR="00610BC2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costs</w:t>
      </w:r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07CD9" w:rsidRPr="006B642B">
        <w:rPr>
          <w:rFonts w:ascii="Times New Roman" w:hAnsi="Times New Roman" w:cs="Times New Roman"/>
          <w:sz w:val="24"/>
          <w:szCs w:val="24"/>
          <w:lang w:val="en-GB"/>
        </w:rPr>
        <w:t>according to dwellings´ keeping condition</w:t>
      </w:r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; (e) </w:t>
      </w:r>
      <w:r w:rsidR="003F1CE9" w:rsidRPr="006B642B">
        <w:rPr>
          <w:rFonts w:ascii="Times New Roman" w:hAnsi="Times New Roman" w:cs="Times New Roman"/>
          <w:sz w:val="24"/>
          <w:szCs w:val="24"/>
          <w:lang w:val="en-GB"/>
        </w:rPr>
        <w:t>assessment of the financ</w:t>
      </w:r>
      <w:r w:rsidR="0088514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ial burden </w:t>
      </w:r>
      <w:r w:rsidR="003F1CE9" w:rsidRPr="006B642B">
        <w:rPr>
          <w:rFonts w:ascii="Times New Roman" w:hAnsi="Times New Roman" w:cs="Times New Roman"/>
          <w:sz w:val="24"/>
          <w:szCs w:val="24"/>
          <w:lang w:val="en-GB"/>
        </w:rPr>
        <w:t>to be supp</w:t>
      </w:r>
      <w:r w:rsidR="00610BC2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orted by </w:t>
      </w:r>
      <w:r w:rsidR="003F1CE9" w:rsidRPr="006B642B">
        <w:rPr>
          <w:rFonts w:ascii="Times New Roman" w:hAnsi="Times New Roman" w:cs="Times New Roman"/>
          <w:sz w:val="24"/>
          <w:szCs w:val="24"/>
          <w:lang w:val="en-GB"/>
        </w:rPr>
        <w:t>dwelling owner</w:t>
      </w:r>
      <w:r w:rsidR="00610BC2" w:rsidRPr="006B642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F1CE9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according to the financial tool recently enforced and aimed at the rehabilitation of private dwellings “</w:t>
      </w:r>
      <w:proofErr w:type="spellStart"/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>Reabilitar</w:t>
      </w:r>
      <w:proofErr w:type="spellEnd"/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para </w:t>
      </w:r>
      <w:proofErr w:type="spellStart"/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>Arrendar</w:t>
      </w:r>
      <w:proofErr w:type="spellEnd"/>
      <w:r w:rsidR="003F1CE9" w:rsidRPr="006B642B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; (f) </w:t>
      </w:r>
      <w:r w:rsidR="003F1CE9" w:rsidRPr="006B642B">
        <w:rPr>
          <w:rFonts w:ascii="Times New Roman" w:hAnsi="Times New Roman" w:cs="Times New Roman"/>
          <w:sz w:val="24"/>
          <w:szCs w:val="24"/>
          <w:lang w:val="en-GB"/>
        </w:rPr>
        <w:t>assessment of the rents according to the enforced legislation, and</w:t>
      </w:r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(g) </w:t>
      </w:r>
      <w:r w:rsidR="00292CED" w:rsidRPr="006B642B">
        <w:rPr>
          <w:rFonts w:ascii="Times New Roman" w:hAnsi="Times New Roman" w:cs="Times New Roman"/>
          <w:sz w:val="24"/>
          <w:szCs w:val="24"/>
          <w:lang w:val="en-GB"/>
        </w:rPr>
        <w:t>comparison between cost burdens and incomes</w:t>
      </w:r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92CED" w:rsidRPr="006B642B">
        <w:rPr>
          <w:rFonts w:ascii="Times New Roman" w:hAnsi="Times New Roman" w:cs="Times New Roman"/>
          <w:sz w:val="24"/>
          <w:szCs w:val="24"/>
          <w:lang w:val="en-GB"/>
        </w:rPr>
        <w:t>keeping in the “island”</w:t>
      </w:r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2CED" w:rsidRPr="006B642B">
        <w:rPr>
          <w:rFonts w:ascii="Times New Roman" w:hAnsi="Times New Roman" w:cs="Times New Roman"/>
          <w:sz w:val="24"/>
          <w:szCs w:val="24"/>
          <w:lang w:val="en-GB"/>
        </w:rPr>
        <w:t>the deprived families that traditionally live there, and selling or renting the new dwellings that belong to the</w:t>
      </w:r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 w:rsidR="00292CED" w:rsidRPr="006B642B">
        <w:rPr>
          <w:rFonts w:ascii="Times New Roman" w:hAnsi="Times New Roman" w:cs="Times New Roman"/>
          <w:sz w:val="24"/>
          <w:szCs w:val="24"/>
          <w:lang w:val="en-GB"/>
        </w:rPr>
        <w:t>dwelling repository</w:t>
      </w:r>
      <w:r w:rsidR="00E30F95" w:rsidRPr="006B642B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FB480D" w:rsidRPr="006B642B" w:rsidRDefault="00292CED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As far as the “islands” located in the urban rehabilitation </w:t>
      </w:r>
      <w:r w:rsidR="00103720" w:rsidRPr="006B642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rea of</w:t>
      </w:r>
      <w:r w:rsidR="00F05E6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Santos </w:t>
      </w:r>
      <w:proofErr w:type="spellStart"/>
      <w:r w:rsidR="00F05E6D" w:rsidRPr="006B642B">
        <w:rPr>
          <w:rFonts w:ascii="Times New Roman" w:hAnsi="Times New Roman" w:cs="Times New Roman"/>
          <w:sz w:val="24"/>
          <w:szCs w:val="24"/>
          <w:lang w:val="en-GB"/>
        </w:rPr>
        <w:t>Pousada</w:t>
      </w:r>
      <w:proofErr w:type="spellEnd"/>
      <w:r w:rsidR="00610BC2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are concerned</w:t>
      </w:r>
      <w:r w:rsidR="00B2688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the main outcomes of this work </w:t>
      </w:r>
      <w:r w:rsidR="005A5A6A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– considering the total gross surface of each “island” is kept -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point out the proposal to demolish 5 ruined dwellings</w:t>
      </w:r>
      <w:r w:rsidR="00D87C4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03720" w:rsidRPr="006B642B">
        <w:rPr>
          <w:rFonts w:ascii="Times New Roman" w:hAnsi="Times New Roman" w:cs="Times New Roman"/>
          <w:sz w:val="24"/>
          <w:szCs w:val="24"/>
          <w:lang w:val="en-GB"/>
        </w:rPr>
        <w:t>and to reconvert the initial</w:t>
      </w:r>
      <w:r w:rsidR="00D87C4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257</w:t>
      </w:r>
      <w:r w:rsidR="00B004E9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3720" w:rsidRPr="006B642B">
        <w:rPr>
          <w:rFonts w:ascii="Times New Roman" w:hAnsi="Times New Roman" w:cs="Times New Roman"/>
          <w:sz w:val="24"/>
          <w:szCs w:val="24"/>
          <w:lang w:val="en-GB"/>
        </w:rPr>
        <w:t>dwellings</w:t>
      </w:r>
      <w:r w:rsidR="00D87C4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3720" w:rsidRPr="006B642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87C4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3720" w:rsidRPr="006B642B">
        <w:rPr>
          <w:rFonts w:ascii="Times New Roman" w:hAnsi="Times New Roman" w:cs="Times New Roman"/>
          <w:sz w:val="24"/>
          <w:szCs w:val="24"/>
          <w:lang w:val="en-GB"/>
        </w:rPr>
        <w:t>currently inhabited by</w:t>
      </w:r>
      <w:r w:rsidR="002A434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159</w:t>
      </w:r>
      <w:r w:rsidR="00D87C4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fam</w:t>
      </w:r>
      <w:r w:rsidR="00103720" w:rsidRPr="006B642B">
        <w:rPr>
          <w:rFonts w:ascii="Times New Roman" w:hAnsi="Times New Roman" w:cs="Times New Roman"/>
          <w:sz w:val="24"/>
          <w:szCs w:val="24"/>
          <w:lang w:val="en-GB"/>
        </w:rPr>
        <w:t>ilies - into</w:t>
      </w:r>
      <w:r w:rsidR="00D87C4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04E9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173 </w:t>
      </w:r>
      <w:r w:rsidR="00D87C48" w:rsidRPr="006B642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3720" w:rsidRPr="006B642B">
        <w:rPr>
          <w:rFonts w:ascii="Times New Roman" w:hAnsi="Times New Roman" w:cs="Times New Roman"/>
          <w:sz w:val="24"/>
          <w:szCs w:val="24"/>
          <w:lang w:val="en-GB"/>
        </w:rPr>
        <w:t>ew dwellings</w:t>
      </w:r>
      <w:r w:rsidR="00B2688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03720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thus resulting </w:t>
      </w:r>
      <w:r w:rsidR="00B2688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23 </w:t>
      </w:r>
      <w:r w:rsidR="003172C5" w:rsidRPr="006B642B">
        <w:rPr>
          <w:rFonts w:ascii="Times New Roman" w:hAnsi="Times New Roman" w:cs="Times New Roman"/>
          <w:sz w:val="24"/>
          <w:szCs w:val="24"/>
          <w:lang w:val="en-GB"/>
        </w:rPr>
        <w:t>unoccupied new dwellings</w:t>
      </w:r>
      <w:r w:rsidR="002A434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03720" w:rsidRPr="006B642B">
        <w:rPr>
          <w:rFonts w:ascii="Times New Roman" w:hAnsi="Times New Roman" w:cs="Times New Roman"/>
          <w:sz w:val="24"/>
          <w:szCs w:val="24"/>
          <w:lang w:val="en-GB"/>
        </w:rPr>
        <w:t>These circumstances require the ultimate rehousing of</w:t>
      </w:r>
      <w:r w:rsidR="002A4345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72C5" w:rsidRPr="006B642B">
        <w:rPr>
          <w:rFonts w:ascii="Times New Roman" w:hAnsi="Times New Roman" w:cs="Times New Roman"/>
          <w:sz w:val="24"/>
          <w:szCs w:val="24"/>
          <w:lang w:val="en-GB"/>
        </w:rPr>
        <w:t>9 families</w:t>
      </w:r>
      <w:r w:rsidR="00FB480D" w:rsidRPr="006B642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D74BC" w:rsidRPr="006B642B" w:rsidRDefault="00BE0EF0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computations performed point out a demolition cost of </w:t>
      </w:r>
      <w:r w:rsidR="00CA573C" w:rsidRPr="006B642B">
        <w:rPr>
          <w:rFonts w:ascii="Times New Roman" w:hAnsi="Times New Roman" w:cs="Times New Roman"/>
          <w:sz w:val="24"/>
          <w:szCs w:val="24"/>
          <w:lang w:val="en-GB"/>
        </w:rPr>
        <w:t>538</w:t>
      </w:r>
      <w:r w:rsidR="00A43AAE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euros, </w:t>
      </w:r>
      <w:r w:rsidR="00911C10" w:rsidRPr="006B642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4294E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n average rehabilitation cost of </w:t>
      </w:r>
      <w:r w:rsidR="00CA573C" w:rsidRPr="006B642B">
        <w:rPr>
          <w:rFonts w:ascii="Times New Roman" w:hAnsi="Times New Roman" w:cs="Times New Roman"/>
          <w:sz w:val="24"/>
          <w:szCs w:val="24"/>
          <w:lang w:val="en-GB"/>
        </w:rPr>
        <w:t>17.342</w:t>
      </w:r>
      <w:r w:rsidR="00CA573C" w:rsidRPr="006B642B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</w:t>
      </w:r>
      <w:r w:rsidR="00B004E9" w:rsidRPr="006B642B">
        <w:rPr>
          <w:rFonts w:ascii="Times New Roman" w:hAnsi="Times New Roman" w:cs="Times New Roman"/>
          <w:sz w:val="24"/>
          <w:szCs w:val="24"/>
          <w:lang w:val="en-GB"/>
        </w:rPr>
        <w:t>euros</w:t>
      </w:r>
      <w:r w:rsidR="00C4294E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per dwelling</w:t>
      </w:r>
      <w:r w:rsidR="00B004E9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4294E" w:rsidRPr="006B642B">
        <w:rPr>
          <w:rFonts w:ascii="Times New Roman" w:hAnsi="Times New Roman" w:cs="Times New Roman"/>
          <w:sz w:val="24"/>
          <w:szCs w:val="24"/>
          <w:lang w:val="en-GB"/>
        </w:rPr>
        <w:t>and a total rehabilitation cost for all the “islands” located in this urban rehabilitatio</w:t>
      </w:r>
      <w:r w:rsidR="003172C5" w:rsidRPr="006B642B">
        <w:rPr>
          <w:rFonts w:ascii="Times New Roman" w:hAnsi="Times New Roman" w:cs="Times New Roman"/>
          <w:sz w:val="24"/>
          <w:szCs w:val="24"/>
          <w:lang w:val="en-GB"/>
        </w:rPr>
        <w:t>n area of 2 416 835 euros</w:t>
      </w:r>
      <w:r w:rsidR="007D74BC" w:rsidRPr="006B642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B0804" w:rsidRPr="006B642B" w:rsidRDefault="00144EBA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t>It was then computed the value of the loan resulting from the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63A2" w:rsidRPr="006B642B">
        <w:rPr>
          <w:rFonts w:ascii="Times New Roman" w:hAnsi="Times New Roman" w:cs="Times New Roman"/>
          <w:sz w:val="24"/>
          <w:szCs w:val="24"/>
          <w:lang w:val="en-GB"/>
        </w:rPr>
        <w:t>operational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754B05" w:rsidRPr="006B642B">
        <w:rPr>
          <w:rFonts w:ascii="Times New Roman" w:hAnsi="Times New Roman" w:cs="Times New Roman"/>
          <w:sz w:val="24"/>
          <w:szCs w:val="24"/>
          <w:lang w:val="en-GB"/>
        </w:rPr>
        <w:t>ntervention proposed for each “i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sland”</w:t>
      </w:r>
      <w:r w:rsidR="006B286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considering the intervention costs previously computed</w:t>
      </w:r>
      <w:r w:rsidR="006B286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using the financial tool already referred to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Rehousing costs add to these burdens, </w:t>
      </w:r>
      <w:r w:rsidR="00E363A2" w:rsidRPr="006B642B">
        <w:rPr>
          <w:rFonts w:ascii="Times New Roman" w:hAnsi="Times New Roman" w:cs="Times New Roman"/>
          <w:sz w:val="24"/>
          <w:szCs w:val="24"/>
          <w:lang w:val="en-GB"/>
        </w:rPr>
        <w:t>considering they amount to about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200</w:t>
      </w:r>
      <w:r w:rsidR="00E363A2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euros per family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363A2" w:rsidRPr="006B642B">
        <w:rPr>
          <w:rFonts w:ascii="Times New Roman" w:hAnsi="Times New Roman" w:cs="Times New Roman"/>
          <w:sz w:val="24"/>
          <w:szCs w:val="24"/>
          <w:lang w:val="en-GB"/>
        </w:rPr>
        <w:t>supposing the city council have enough social housing units at its disposal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363A2" w:rsidRPr="006B642B">
        <w:rPr>
          <w:rFonts w:ascii="Times New Roman" w:hAnsi="Times New Roman" w:cs="Times New Roman"/>
          <w:sz w:val="24"/>
          <w:szCs w:val="24"/>
          <w:lang w:val="en-GB"/>
        </w:rPr>
        <w:t>It was further considered a possible curtailment of about 10% of the intervention costs in the linkage to infrastructure networks (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>ele</w:t>
      </w:r>
      <w:r w:rsidR="00E363A2" w:rsidRPr="006B642B">
        <w:rPr>
          <w:rFonts w:ascii="Times New Roman" w:hAnsi="Times New Roman" w:cs="Times New Roman"/>
          <w:sz w:val="24"/>
          <w:szCs w:val="24"/>
          <w:lang w:val="en-GB"/>
        </w:rPr>
        <w:t>ctricity, water, sanitation and ga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s), </w:t>
      </w:r>
      <w:r w:rsidR="00E363A2" w:rsidRPr="006B642B">
        <w:rPr>
          <w:rFonts w:ascii="Times New Roman" w:hAnsi="Times New Roman" w:cs="Times New Roman"/>
          <w:sz w:val="24"/>
          <w:szCs w:val="24"/>
          <w:lang w:val="en-GB"/>
        </w:rPr>
        <w:t>architecture projects and municipal fees´ exemption</w:t>
      </w:r>
      <w:r w:rsidR="001B0804" w:rsidRPr="006B642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03DA7" w:rsidRPr="006B642B" w:rsidRDefault="001B0804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t>The average burden per dwelling amounts to 32 117 euro</w:t>
      </w:r>
      <w:r w:rsidR="00FC7D49" w:rsidRPr="006B642B">
        <w:rPr>
          <w:rFonts w:ascii="Times New Roman" w:hAnsi="Times New Roman" w:cs="Times New Roman"/>
          <w:sz w:val="24"/>
          <w:szCs w:val="24"/>
          <w:lang w:val="en-GB"/>
        </w:rPr>
        <w:t>s, and the average burden per “i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sland” to about </w:t>
      </w:r>
      <w:r w:rsidR="00B3653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248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thousand</w:t>
      </w:r>
      <w:r w:rsidR="00B3653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euros.</w:t>
      </w:r>
      <w:r w:rsidR="00B5250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The net present value of these global c</w:t>
      </w:r>
      <w:r w:rsidR="007A403E" w:rsidRPr="006B642B">
        <w:rPr>
          <w:rFonts w:ascii="Times New Roman" w:hAnsi="Times New Roman" w:cs="Times New Roman"/>
          <w:sz w:val="24"/>
          <w:szCs w:val="24"/>
          <w:lang w:val="en-GB"/>
        </w:rPr>
        <w:t>osts to be supported by dwel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ling</w:t>
      </w:r>
      <w:r w:rsidR="00FC7D49" w:rsidRPr="006B642B">
        <w:rPr>
          <w:rFonts w:ascii="Times New Roman" w:hAnsi="Times New Roman" w:cs="Times New Roman"/>
          <w:sz w:val="24"/>
          <w:szCs w:val="24"/>
          <w:lang w:val="en-GB"/>
        </w:rPr>
        <w:t>s´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7D49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public or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private owners was computed considering a</w:t>
      </w:r>
      <w:r w:rsidR="007A403E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present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rate of 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>4</w:t>
      </w:r>
      <w:proofErr w:type="gramStart"/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>,5</w:t>
      </w:r>
      <w:proofErr w:type="gramEnd"/>
      <w:r w:rsidRPr="006B642B">
        <w:rPr>
          <w:rFonts w:ascii="Times New Roman" w:hAnsi="Times New Roman" w:cs="Times New Roman"/>
          <w:sz w:val="24"/>
          <w:szCs w:val="24"/>
          <w:lang w:val="en-GB"/>
        </w:rPr>
        <w:t>% per annum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A403E" w:rsidRPr="006B642B">
        <w:rPr>
          <w:rFonts w:ascii="Times New Roman" w:hAnsi="Times New Roman" w:cs="Times New Roman"/>
          <w:sz w:val="24"/>
          <w:szCs w:val="24"/>
          <w:lang w:val="en-GB"/>
        </w:rPr>
        <w:t>and the payment of the interest liabilities at the end of each year, with the redemption of the whole loaned capital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(90%) </w:t>
      </w:r>
      <w:r w:rsidR="007A403E" w:rsidRPr="006B642B">
        <w:rPr>
          <w:rFonts w:ascii="Times New Roman" w:hAnsi="Times New Roman" w:cs="Times New Roman"/>
          <w:sz w:val="24"/>
          <w:szCs w:val="24"/>
          <w:lang w:val="en-GB"/>
        </w:rPr>
        <w:t>at the end of the 15</w:t>
      </w:r>
      <w:r w:rsidR="007A403E" w:rsidRPr="006B642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7A403E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year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A403E" w:rsidRPr="006B642B">
        <w:rPr>
          <w:rFonts w:ascii="Times New Roman" w:hAnsi="Times New Roman" w:cs="Times New Roman"/>
          <w:sz w:val="24"/>
          <w:szCs w:val="24"/>
          <w:lang w:val="en-GB"/>
        </w:rPr>
        <w:t>paying the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10% </w:t>
      </w:r>
      <w:r w:rsidR="007A403E" w:rsidRPr="006B642B">
        <w:rPr>
          <w:rFonts w:ascii="Times New Roman" w:hAnsi="Times New Roman" w:cs="Times New Roman"/>
          <w:sz w:val="24"/>
          <w:szCs w:val="24"/>
          <w:lang w:val="en-GB"/>
        </w:rPr>
        <w:t>of own capital at the beginning of the intervention.</w:t>
      </w:r>
    </w:p>
    <w:p w:rsidR="00303DD0" w:rsidRPr="006B642B" w:rsidRDefault="0009510D" w:rsidP="006B64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t>The same present rate was used i</w:t>
      </w:r>
      <w:r w:rsidR="00D4346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n the computation of the </w:t>
      </w:r>
      <w:r w:rsidR="007A403E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net </w:t>
      </w:r>
      <w:r w:rsidR="00D4346D" w:rsidRPr="006B642B">
        <w:rPr>
          <w:rFonts w:ascii="Times New Roman" w:hAnsi="Times New Roman" w:cs="Times New Roman"/>
          <w:sz w:val="24"/>
          <w:szCs w:val="24"/>
          <w:lang w:val="en-GB"/>
        </w:rPr>
        <w:t>present</w:t>
      </w:r>
      <w:r w:rsidR="007A403E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value of rents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346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considering the rent flows take place at the end of each year during the loan period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4346D" w:rsidRPr="006B642B">
        <w:rPr>
          <w:rFonts w:ascii="Times New Roman" w:hAnsi="Times New Roman" w:cs="Times New Roman"/>
          <w:sz w:val="24"/>
          <w:szCs w:val="24"/>
          <w:lang w:val="en-GB"/>
        </w:rPr>
        <w:t>fifteen years</w:t>
      </w:r>
      <w:r w:rsidR="00703DA7" w:rsidRPr="006B642B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B52507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346D" w:rsidRPr="006B642B">
        <w:rPr>
          <w:rFonts w:ascii="Times New Roman" w:hAnsi="Times New Roman" w:cs="Times New Roman"/>
          <w:sz w:val="24"/>
          <w:szCs w:val="24"/>
          <w:lang w:val="en-GB"/>
        </w:rPr>
        <w:t>The average provisional rent per dwelling</w:t>
      </w:r>
      <w:r w:rsidR="007934A2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D4346D" w:rsidRPr="006B642B">
        <w:rPr>
          <w:rFonts w:ascii="Times New Roman" w:hAnsi="Times New Roman" w:cs="Times New Roman"/>
          <w:sz w:val="24"/>
          <w:szCs w:val="24"/>
          <w:lang w:val="en-GB"/>
        </w:rPr>
        <w:t>according to the urban rent law</w:t>
      </w:r>
      <w:r w:rsidR="007934A2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4346D" w:rsidRPr="006B642B">
        <w:rPr>
          <w:rFonts w:ascii="Times New Roman" w:hAnsi="Times New Roman" w:cs="Times New Roman"/>
          <w:sz w:val="24"/>
          <w:szCs w:val="24"/>
          <w:lang w:val="en-GB"/>
        </w:rPr>
        <w:t>the real estate municipal tax code</w:t>
      </w:r>
      <w:r w:rsidR="007934A2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4346D" w:rsidRPr="006B642B">
        <w:rPr>
          <w:rFonts w:ascii="Times New Roman" w:hAnsi="Times New Roman" w:cs="Times New Roman"/>
          <w:sz w:val="24"/>
          <w:szCs w:val="24"/>
          <w:lang w:val="en-GB"/>
        </w:rPr>
        <w:t>and the statements of the financial tool</w:t>
      </w:r>
      <w:r w:rsidR="007934A2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2867" w:rsidRPr="006B642B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="006B2867" w:rsidRPr="006B642B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934A2" w:rsidRPr="006B642B">
        <w:rPr>
          <w:rFonts w:ascii="Times New Roman" w:hAnsi="Times New Roman" w:cs="Times New Roman"/>
          <w:sz w:val="24"/>
          <w:szCs w:val="24"/>
          <w:lang w:val="en-GB"/>
        </w:rPr>
        <w:t>eabilitar</w:t>
      </w:r>
      <w:proofErr w:type="spellEnd"/>
      <w:r w:rsidR="007934A2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para </w:t>
      </w:r>
      <w:proofErr w:type="spellStart"/>
      <w:r w:rsidR="007934A2" w:rsidRPr="006B642B">
        <w:rPr>
          <w:rFonts w:ascii="Times New Roman" w:hAnsi="Times New Roman" w:cs="Times New Roman"/>
          <w:sz w:val="24"/>
          <w:szCs w:val="24"/>
          <w:lang w:val="en-GB"/>
        </w:rPr>
        <w:t>arrendar</w:t>
      </w:r>
      <w:proofErr w:type="spellEnd"/>
      <w:r w:rsidR="006B2867" w:rsidRPr="006B642B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4346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– amounts to about</w:t>
      </w:r>
      <w:r w:rsidR="007934A2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250 euros, </w:t>
      </w:r>
      <w:r w:rsidR="00D4346D" w:rsidRPr="006B642B">
        <w:rPr>
          <w:rFonts w:ascii="Times New Roman" w:hAnsi="Times New Roman" w:cs="Times New Roman"/>
          <w:sz w:val="24"/>
          <w:szCs w:val="24"/>
          <w:lang w:val="en-GB"/>
        </w:rPr>
        <w:t>what means an average value of</w:t>
      </w:r>
      <w:r w:rsidR="007934A2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D4346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924 euros pe</w:t>
      </w:r>
      <w:r w:rsidR="007934A2" w:rsidRPr="006B642B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D4346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“island”</w:t>
      </w:r>
      <w:r w:rsidR="007934A2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346D" w:rsidRPr="006B642B">
        <w:rPr>
          <w:rFonts w:ascii="Times New Roman" w:hAnsi="Times New Roman" w:cs="Times New Roman"/>
          <w:sz w:val="24"/>
          <w:szCs w:val="24"/>
          <w:lang w:val="en-GB"/>
        </w:rPr>
        <w:t>and a total amount of 42 337 euros resulting from the wh</w:t>
      </w:r>
      <w:r w:rsidR="003172C5" w:rsidRPr="006B642B">
        <w:rPr>
          <w:rFonts w:ascii="Times New Roman" w:hAnsi="Times New Roman" w:cs="Times New Roman"/>
          <w:sz w:val="24"/>
          <w:szCs w:val="24"/>
          <w:lang w:val="en-GB"/>
        </w:rPr>
        <w:t>ole rehabilitation intervention</w:t>
      </w:r>
      <w:r w:rsidR="00563B8A" w:rsidRPr="006B642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378A2" w:rsidRPr="006B642B" w:rsidRDefault="000E31EE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t>The sale of the new</w:t>
      </w:r>
      <w:r w:rsidRPr="006B642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D1257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23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availa</w:t>
      </w:r>
      <w:r w:rsidR="0009510D" w:rsidRPr="006B642B">
        <w:rPr>
          <w:rFonts w:ascii="Times New Roman" w:hAnsi="Times New Roman" w:cs="Times New Roman"/>
          <w:sz w:val="24"/>
          <w:szCs w:val="24"/>
          <w:lang w:val="en-GB"/>
        </w:rPr>
        <w:t>ble dwellings, by its turn</w:t>
      </w:r>
      <w:r w:rsidR="00D1257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would amount to</w:t>
      </w:r>
      <w:r w:rsidR="00D1257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2.512.335</w:t>
      </w:r>
      <w:r w:rsidR="00D1257D" w:rsidRPr="006B642B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</w:t>
      </w:r>
      <w:r w:rsidR="00D1257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euros,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what turns the rehabilitation intervention</w:t>
      </w:r>
      <w:r w:rsidR="00E832F0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in all the “islands” of this urban rehabilitation area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sustainable from an economic a</w:t>
      </w:r>
      <w:r w:rsidR="00E832F0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nd financial perspective as its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total costs amount to</w:t>
      </w:r>
      <w:r w:rsidR="003A6BC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2 416 835 euros.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This scenario assumes that the available dwellings will have housing uses, but should they be used for trade or services uses, the income value should increase substantially.</w:t>
      </w:r>
    </w:p>
    <w:p w:rsidR="00054884" w:rsidRPr="006B642B" w:rsidRDefault="00825F4B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This study stresses how urban rehabilitation interventions can strongly </w:t>
      </w:r>
      <w:r w:rsidR="008271AF" w:rsidRPr="006B642B">
        <w:rPr>
          <w:rFonts w:ascii="Times New Roman" w:hAnsi="Times New Roman" w:cs="Times New Roman"/>
          <w:sz w:val="24"/>
          <w:szCs w:val="24"/>
          <w:lang w:val="en-GB"/>
        </w:rPr>
        <w:t>encourage and</w:t>
      </w:r>
      <w:r w:rsidR="00054AD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support</w:t>
      </w:r>
      <w:r w:rsidR="004101CA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71AF" w:rsidRPr="006B642B">
        <w:rPr>
          <w:rFonts w:ascii="Times New Roman" w:hAnsi="Times New Roman" w:cs="Times New Roman"/>
          <w:sz w:val="24"/>
          <w:szCs w:val="24"/>
          <w:lang w:val="en-GB"/>
        </w:rPr>
        <w:t>an honourable social cohesion and integration</w:t>
      </w:r>
      <w:r w:rsidR="004101CA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8271AF" w:rsidRPr="006B642B">
        <w:rPr>
          <w:rFonts w:ascii="Times New Roman" w:hAnsi="Times New Roman" w:cs="Times New Roman"/>
          <w:sz w:val="24"/>
          <w:szCs w:val="24"/>
          <w:lang w:val="en-GB"/>
        </w:rPr>
        <w:t>namely on housing quality and comfort grounds</w:t>
      </w:r>
      <w:r w:rsidR="004101CA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71AF" w:rsidRPr="006B642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101CA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71AF" w:rsidRPr="006B642B">
        <w:rPr>
          <w:rFonts w:ascii="Times New Roman" w:hAnsi="Times New Roman" w:cs="Times New Roman"/>
          <w:sz w:val="24"/>
          <w:szCs w:val="24"/>
          <w:lang w:val="en-GB"/>
        </w:rPr>
        <w:t>in order to settle an alternative to the traditional trust in welfare state</w:t>
      </w:r>
      <w:r w:rsidR="00054ADD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that should shoulder all the social needs, but that faces increasing financial difficulties that hamper the achievement of its social function</w:t>
      </w:r>
      <w:r w:rsidR="00054884" w:rsidRPr="006B642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52507" w:rsidRPr="006B642B" w:rsidRDefault="008F5906" w:rsidP="006B64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B642B">
        <w:rPr>
          <w:rFonts w:ascii="Times New Roman" w:hAnsi="Times New Roman" w:cs="Times New Roman"/>
          <w:sz w:val="24"/>
          <w:szCs w:val="24"/>
          <w:lang w:val="en-GB"/>
        </w:rPr>
        <w:t>It clearly shows that the sketch of proper financial instruments turns rehabilitation interventions sustainable from a</w:t>
      </w:r>
      <w:r w:rsidR="00054884" w:rsidRPr="006B642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 economic and financial perspective</w:t>
      </w:r>
      <w:r w:rsidR="0092254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B642B">
        <w:rPr>
          <w:rFonts w:ascii="Times New Roman" w:hAnsi="Times New Roman" w:cs="Times New Roman"/>
          <w:sz w:val="24"/>
          <w:szCs w:val="24"/>
          <w:lang w:val="en-GB"/>
        </w:rPr>
        <w:t>thus strengthening their social impact</w:t>
      </w:r>
      <w:r w:rsidR="00922548" w:rsidRPr="006B642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11C10" w:rsidRPr="006B642B">
        <w:rPr>
          <w:rFonts w:ascii="Times New Roman" w:hAnsi="Times New Roman" w:cs="Times New Roman"/>
          <w:sz w:val="24"/>
          <w:szCs w:val="24"/>
          <w:lang w:val="en-GB"/>
        </w:rPr>
        <w:t>And it supports the achievement of the most important goal of this kind of intervention: to provide deprived families better housing conditions, still assuring their social inclusion in the centre of cities, where they have always traditionally lived.</w:t>
      </w:r>
      <w:r w:rsidR="00922548" w:rsidRPr="006B642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F21DB7" w:rsidRPr="006B642B" w:rsidRDefault="00F21DB7" w:rsidP="006B64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F21DB7" w:rsidRPr="006B642B" w:rsidRDefault="00F21DB7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42B">
        <w:rPr>
          <w:rFonts w:ascii="Times New Roman" w:hAnsi="Times New Roman" w:cs="Times New Roman"/>
          <w:sz w:val="24"/>
          <w:szCs w:val="24"/>
        </w:rPr>
        <w:t>References</w:t>
      </w:r>
      <w:proofErr w:type="spellEnd"/>
    </w:p>
    <w:p w:rsidR="00054884" w:rsidRPr="006B642B" w:rsidRDefault="00054884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Afonso, F. P. (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>.)</w:t>
      </w:r>
      <w:r w:rsidR="00E832F0" w:rsidRPr="006B642B">
        <w:rPr>
          <w:rFonts w:ascii="Times New Roman" w:hAnsi="Times New Roman" w:cs="Times New Roman"/>
          <w:sz w:val="24"/>
          <w:szCs w:val="24"/>
        </w:rPr>
        <w:t xml:space="preserve"> (2009) </w:t>
      </w:r>
      <w:r w:rsidRPr="006B642B">
        <w:rPr>
          <w:rFonts w:ascii="Times New Roman" w:hAnsi="Times New Roman" w:cs="Times New Roman"/>
          <w:sz w:val="24"/>
          <w:szCs w:val="24"/>
        </w:rPr>
        <w:t xml:space="preserve">“O Mercado da Reabilitação – Enquadramento, Relevância e 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Perspectivas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>”, AECOPS – Associação de empresas de construção, obras públicas e serviços</w:t>
      </w:r>
    </w:p>
    <w:p w:rsidR="00F21DB7" w:rsidRPr="006B642B" w:rsidRDefault="009E7860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Breda-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Vázquez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>,</w:t>
      </w:r>
      <w:r w:rsidR="00E832F0" w:rsidRPr="006B642B">
        <w:rPr>
          <w:rFonts w:ascii="Times New Roman" w:hAnsi="Times New Roman" w:cs="Times New Roman"/>
          <w:sz w:val="24"/>
          <w:szCs w:val="24"/>
        </w:rPr>
        <w:t xml:space="preserve"> I., Conceição, P. (</w:t>
      </w:r>
      <w:proofErr w:type="spellStart"/>
      <w:r w:rsidR="00E832F0" w:rsidRPr="006B642B">
        <w:rPr>
          <w:rFonts w:ascii="Times New Roman" w:hAnsi="Times New Roman" w:cs="Times New Roman"/>
          <w:sz w:val="24"/>
          <w:szCs w:val="24"/>
        </w:rPr>
        <w:t>coods</w:t>
      </w:r>
      <w:proofErr w:type="spellEnd"/>
      <w:r w:rsidR="00E832F0" w:rsidRPr="006B642B">
        <w:rPr>
          <w:rFonts w:ascii="Times New Roman" w:hAnsi="Times New Roman" w:cs="Times New Roman"/>
          <w:sz w:val="24"/>
          <w:szCs w:val="24"/>
        </w:rPr>
        <w:t>.) (2015)</w:t>
      </w:r>
      <w:r w:rsidRPr="006B642B">
        <w:rPr>
          <w:rFonts w:ascii="Times New Roman" w:hAnsi="Times New Roman" w:cs="Times New Roman"/>
          <w:sz w:val="24"/>
          <w:szCs w:val="24"/>
        </w:rPr>
        <w:t xml:space="preserve"> </w:t>
      </w:r>
      <w:r w:rsidR="00F21DB7" w:rsidRPr="006B642B">
        <w:rPr>
          <w:rFonts w:ascii="Times New Roman" w:hAnsi="Times New Roman" w:cs="Times New Roman"/>
          <w:sz w:val="24"/>
          <w:szCs w:val="24"/>
        </w:rPr>
        <w:t>“Levantamento e caracterização das ‘Ilhas’ do Porto”</w:t>
      </w:r>
      <w:r w:rsidRPr="006B642B">
        <w:rPr>
          <w:rFonts w:ascii="Times New Roman" w:hAnsi="Times New Roman" w:cs="Times New Roman"/>
          <w:sz w:val="24"/>
          <w:szCs w:val="24"/>
        </w:rPr>
        <w:t xml:space="preserve">, Instituto da Construção, Faculdade de Engenharia da Universidade do Porto, CITTA – Centro de Investigação do Território, 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Trnasportes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 xml:space="preserve"> e Ambiente, P</w:t>
      </w:r>
      <w:r w:rsidR="00E832F0" w:rsidRPr="006B642B">
        <w:rPr>
          <w:rFonts w:ascii="Times New Roman" w:hAnsi="Times New Roman" w:cs="Times New Roman"/>
          <w:sz w:val="24"/>
          <w:szCs w:val="24"/>
        </w:rPr>
        <w:t xml:space="preserve">orto </w:t>
      </w:r>
      <w:proofErr w:type="spellStart"/>
      <w:r w:rsidR="00E832F0" w:rsidRPr="006B642B">
        <w:rPr>
          <w:rFonts w:ascii="Times New Roman" w:hAnsi="Times New Roman" w:cs="Times New Roman"/>
          <w:sz w:val="24"/>
          <w:szCs w:val="24"/>
        </w:rPr>
        <w:t>Domus</w:t>
      </w:r>
      <w:proofErr w:type="spellEnd"/>
      <w:r w:rsidR="00E832F0" w:rsidRPr="006B642B">
        <w:rPr>
          <w:rFonts w:ascii="Times New Roman" w:hAnsi="Times New Roman" w:cs="Times New Roman"/>
          <w:sz w:val="24"/>
          <w:szCs w:val="24"/>
        </w:rPr>
        <w:t xml:space="preserve"> Social</w:t>
      </w:r>
    </w:p>
    <w:p w:rsidR="00D36797" w:rsidRPr="006B642B" w:rsidRDefault="009E7860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lastRenderedPageBreak/>
        <w:t xml:space="preserve">Conceição, P., </w:t>
      </w:r>
      <w:r w:rsidR="00D36797" w:rsidRPr="006B642B">
        <w:rPr>
          <w:rFonts w:ascii="Times New Roman" w:hAnsi="Times New Roman" w:cs="Times New Roman"/>
          <w:sz w:val="24"/>
          <w:szCs w:val="24"/>
        </w:rPr>
        <w:t>“Ilhas do Porto”</w:t>
      </w:r>
      <w:r w:rsidRPr="006B642B">
        <w:rPr>
          <w:rFonts w:ascii="Times New Roman" w:hAnsi="Times New Roman" w:cs="Times New Roman"/>
          <w:sz w:val="24"/>
          <w:szCs w:val="24"/>
        </w:rPr>
        <w:t>, Breda-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Vázquez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>, I.</w:t>
      </w:r>
      <w:r w:rsidR="00E832F0" w:rsidRPr="006B64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32F0" w:rsidRPr="006B642B">
        <w:rPr>
          <w:rFonts w:ascii="Times New Roman" w:hAnsi="Times New Roman" w:cs="Times New Roman"/>
          <w:sz w:val="24"/>
          <w:szCs w:val="24"/>
        </w:rPr>
        <w:t>ccods</w:t>
      </w:r>
      <w:proofErr w:type="spellEnd"/>
      <w:r w:rsidR="00E832F0" w:rsidRPr="006B642B">
        <w:rPr>
          <w:rFonts w:ascii="Times New Roman" w:hAnsi="Times New Roman" w:cs="Times New Roman"/>
          <w:sz w:val="24"/>
          <w:szCs w:val="24"/>
        </w:rPr>
        <w:t>.) (2015)</w:t>
      </w:r>
      <w:r w:rsidRPr="006B642B">
        <w:rPr>
          <w:rFonts w:ascii="Times New Roman" w:hAnsi="Times New Roman" w:cs="Times New Roman"/>
          <w:sz w:val="24"/>
          <w:szCs w:val="24"/>
        </w:rPr>
        <w:t>, “Ilhas” do Porto</w:t>
      </w:r>
      <w:r w:rsidR="00D36797" w:rsidRPr="006B642B">
        <w:rPr>
          <w:rFonts w:ascii="Times New Roman" w:hAnsi="Times New Roman" w:cs="Times New Roman"/>
          <w:sz w:val="24"/>
          <w:szCs w:val="24"/>
        </w:rPr>
        <w:t xml:space="preserve"> – Programa </w:t>
      </w:r>
      <w:r w:rsidR="00E832F0" w:rsidRPr="006B642B">
        <w:rPr>
          <w:rFonts w:ascii="Times New Roman" w:hAnsi="Times New Roman" w:cs="Times New Roman"/>
          <w:sz w:val="24"/>
          <w:szCs w:val="24"/>
        </w:rPr>
        <w:t>Est</w:t>
      </w:r>
      <w:r w:rsidR="00D36797" w:rsidRPr="006B642B">
        <w:rPr>
          <w:rFonts w:ascii="Times New Roman" w:hAnsi="Times New Roman" w:cs="Times New Roman"/>
          <w:sz w:val="24"/>
          <w:szCs w:val="24"/>
        </w:rPr>
        <w:t>ratégico</w:t>
      </w:r>
      <w:r w:rsidRPr="006B642B">
        <w:rPr>
          <w:rFonts w:ascii="Times New Roman" w:hAnsi="Times New Roman" w:cs="Times New Roman"/>
          <w:sz w:val="24"/>
          <w:szCs w:val="24"/>
        </w:rPr>
        <w:t xml:space="preserve">, Instituto da Construção, Faculdade de Engenharia da Universidade do Porto, CITTA – Centro de Investigação do Território, 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Trnasportes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 xml:space="preserve"> e Ambi</w:t>
      </w:r>
      <w:r w:rsidR="00E832F0" w:rsidRPr="006B642B">
        <w:rPr>
          <w:rFonts w:ascii="Times New Roman" w:hAnsi="Times New Roman" w:cs="Times New Roman"/>
          <w:sz w:val="24"/>
          <w:szCs w:val="24"/>
        </w:rPr>
        <w:t xml:space="preserve">ente, Porto </w:t>
      </w:r>
      <w:proofErr w:type="spellStart"/>
      <w:r w:rsidR="00E832F0" w:rsidRPr="006B642B">
        <w:rPr>
          <w:rFonts w:ascii="Times New Roman" w:hAnsi="Times New Roman" w:cs="Times New Roman"/>
          <w:sz w:val="24"/>
          <w:szCs w:val="24"/>
        </w:rPr>
        <w:t>Domus</w:t>
      </w:r>
      <w:proofErr w:type="spellEnd"/>
      <w:r w:rsidR="00E832F0" w:rsidRPr="006B642B">
        <w:rPr>
          <w:rFonts w:ascii="Times New Roman" w:hAnsi="Times New Roman" w:cs="Times New Roman"/>
          <w:sz w:val="24"/>
          <w:szCs w:val="24"/>
        </w:rPr>
        <w:t xml:space="preserve"> Social</w:t>
      </w:r>
    </w:p>
    <w:p w:rsidR="00E832F0" w:rsidRPr="006B642B" w:rsidRDefault="00E832F0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IHRU Instituto da Habitação e Reabilitação Urbana, Governo de Portugal – Ministério do Ambiente, Ordenamento do Território e Energia (2015) “Estratégia Nacional para a Habitação”, </w:t>
      </w:r>
    </w:p>
    <w:p w:rsidR="00E832F0" w:rsidRPr="006B642B" w:rsidRDefault="00E832F0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IHRU – Instituto da Habitação e da Reabilitação Urbana, Governo de Portugal – Ministérios das Finanças e do Ambiente, Ordenamento do Território e Energia, 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2B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B642B">
        <w:rPr>
          <w:rFonts w:ascii="Times New Roman" w:hAnsi="Times New Roman" w:cs="Times New Roman"/>
          <w:sz w:val="24"/>
          <w:szCs w:val="24"/>
        </w:rPr>
        <w:t xml:space="preserve"> (2015), “Reabilitar para Arrendar – Habitação Acessível”</w:t>
      </w:r>
    </w:p>
    <w:p w:rsidR="00E832F0" w:rsidRPr="006B642B" w:rsidRDefault="00E832F0" w:rsidP="006B6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Decreto-Lei n.º 307/2009</w:t>
      </w:r>
    </w:p>
    <w:p w:rsidR="00AA3777" w:rsidRPr="006B642B" w:rsidRDefault="00B51B87" w:rsidP="006B6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tooltip="Decreto-Lei n.º 175/2012, de 2 de agosto" w:history="1">
        <w:r w:rsidR="00AA3777" w:rsidRPr="006B642B">
          <w:rPr>
            <w:rFonts w:ascii="Times New Roman" w:hAnsi="Times New Roman" w:cs="Times New Roman"/>
            <w:sz w:val="24"/>
            <w:szCs w:val="24"/>
          </w:rPr>
          <w:t>Decreto-Lei n.º 175/2012</w:t>
        </w:r>
      </w:hyperlink>
      <w:r w:rsidR="00E832F0" w:rsidRPr="006B6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F0" w:rsidRPr="006B642B" w:rsidRDefault="00B51B87" w:rsidP="006B6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tooltip="Decreto-Lei n.º 53/2014, de 8 de abril" w:history="1">
        <w:r w:rsidR="00E832F0" w:rsidRPr="006B642B">
          <w:rPr>
            <w:rFonts w:ascii="Times New Roman" w:hAnsi="Times New Roman" w:cs="Times New Roman"/>
            <w:sz w:val="24"/>
            <w:szCs w:val="24"/>
          </w:rPr>
          <w:t xml:space="preserve">Decreto-Lei n.º 53/2014 </w:t>
        </w:r>
      </w:hyperlink>
      <w:r w:rsidR="00E832F0" w:rsidRPr="006B642B">
        <w:rPr>
          <w:rFonts w:ascii="Times New Roman" w:hAnsi="Times New Roman" w:cs="Times New Roman"/>
          <w:sz w:val="24"/>
          <w:szCs w:val="24"/>
        </w:rPr>
        <w:t> </w:t>
      </w:r>
    </w:p>
    <w:p w:rsidR="00AA3777" w:rsidRPr="006B642B" w:rsidRDefault="00B51B87" w:rsidP="006B6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tooltip="Decreto-Lei n.º 136/2014, de 9 de setembro" w:history="1">
        <w:r w:rsidR="00AA3777" w:rsidRPr="006B642B">
          <w:rPr>
            <w:rFonts w:ascii="Times New Roman" w:hAnsi="Times New Roman" w:cs="Times New Roman"/>
            <w:sz w:val="24"/>
            <w:szCs w:val="24"/>
          </w:rPr>
          <w:t>Decreto-Lei n.º 136/2014</w:t>
        </w:r>
      </w:hyperlink>
      <w:r w:rsidR="00AA3777" w:rsidRPr="006B642B">
        <w:rPr>
          <w:rFonts w:ascii="Times New Roman" w:hAnsi="Times New Roman" w:cs="Times New Roman"/>
          <w:sz w:val="24"/>
          <w:szCs w:val="24"/>
        </w:rPr>
        <w:t> </w:t>
      </w:r>
    </w:p>
    <w:p w:rsidR="00E832F0" w:rsidRPr="006B642B" w:rsidRDefault="00E832F0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Lei nº 31/2012</w:t>
      </w:r>
    </w:p>
    <w:p w:rsidR="00E832F0" w:rsidRPr="006B642B" w:rsidRDefault="00E832F0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Lei 80/2014</w:t>
      </w:r>
    </w:p>
    <w:p w:rsidR="00E832F0" w:rsidRPr="006B642B" w:rsidRDefault="00E832F0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Portaria nº 1119/2009</w:t>
      </w:r>
    </w:p>
    <w:p w:rsidR="00AA3777" w:rsidRPr="006B642B" w:rsidRDefault="00AA3777" w:rsidP="006B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42B">
        <w:rPr>
          <w:rFonts w:ascii="Times New Roman" w:hAnsi="Times New Roman" w:cs="Times New Roman"/>
          <w:sz w:val="24"/>
          <w:szCs w:val="24"/>
        </w:rPr>
        <w:t>www.portaldahabitacao.pt</w:t>
      </w:r>
      <w:proofErr w:type="gramEnd"/>
    </w:p>
    <w:p w:rsidR="008C1600" w:rsidRPr="00E832F0" w:rsidRDefault="008C1600" w:rsidP="00B5250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1DB7" w:rsidRPr="00E832F0" w:rsidRDefault="00F21DB7" w:rsidP="00B52507">
      <w:pPr>
        <w:spacing w:after="12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2548" w:rsidRPr="00E832F0" w:rsidRDefault="00922548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22548" w:rsidRPr="00E83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87" w:rsidRDefault="00B51B87" w:rsidP="005762C4">
      <w:pPr>
        <w:spacing w:after="0" w:line="240" w:lineRule="auto"/>
      </w:pPr>
      <w:r>
        <w:separator/>
      </w:r>
    </w:p>
  </w:endnote>
  <w:endnote w:type="continuationSeparator" w:id="0">
    <w:p w:rsidR="00B51B87" w:rsidRDefault="00B51B87" w:rsidP="0057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87" w:rsidRDefault="00B51B87" w:rsidP="005762C4">
      <w:pPr>
        <w:spacing w:after="0" w:line="240" w:lineRule="auto"/>
      </w:pPr>
      <w:r>
        <w:separator/>
      </w:r>
    </w:p>
  </w:footnote>
  <w:footnote w:type="continuationSeparator" w:id="0">
    <w:p w:rsidR="00B51B87" w:rsidRDefault="00B51B87" w:rsidP="005762C4">
      <w:pPr>
        <w:spacing w:after="0" w:line="240" w:lineRule="auto"/>
      </w:pPr>
      <w:r>
        <w:continuationSeparator/>
      </w:r>
    </w:p>
  </w:footnote>
  <w:footnote w:id="1">
    <w:p w:rsidR="003324AE" w:rsidRPr="00936F4D" w:rsidRDefault="003324AE" w:rsidP="008248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324A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4C4BDF" w:rsidRPr="004C4BDF">
        <w:rPr>
          <w:rFonts w:ascii="Times New Roman" w:hAnsi="Times New Roman" w:cs="Times New Roman"/>
          <w:sz w:val="20"/>
          <w:szCs w:val="20"/>
          <w:lang w:val="en-US"/>
        </w:rPr>
        <w:t xml:space="preserve"> The “island</w:t>
      </w:r>
      <w:r w:rsidR="006406E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4C4BDF" w:rsidRPr="004C4BDF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4C4B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BDF" w:rsidRPr="004C4BDF">
        <w:rPr>
          <w:rFonts w:ascii="Times New Roman" w:hAnsi="Times New Roman" w:cs="Times New Roman"/>
          <w:sz w:val="20"/>
          <w:szCs w:val="20"/>
          <w:lang w:val="en-US"/>
        </w:rPr>
        <w:t xml:space="preserve">are typical informal dwellings in </w:t>
      </w:r>
      <w:r w:rsidRPr="004C4BDF">
        <w:rPr>
          <w:rFonts w:ascii="Times New Roman" w:hAnsi="Times New Roman" w:cs="Times New Roman"/>
          <w:sz w:val="20"/>
          <w:szCs w:val="20"/>
          <w:lang w:val="en-US"/>
        </w:rPr>
        <w:t>Porto</w:t>
      </w:r>
      <w:r w:rsidR="004C4BDF" w:rsidRPr="004C4BDF">
        <w:rPr>
          <w:rFonts w:ascii="Times New Roman" w:hAnsi="Times New Roman" w:cs="Times New Roman"/>
          <w:sz w:val="20"/>
          <w:szCs w:val="20"/>
          <w:lang w:val="en-US"/>
        </w:rPr>
        <w:t xml:space="preserve"> city</w:t>
      </w:r>
      <w:r w:rsidRPr="004C4B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C4BDF" w:rsidRPr="004C4BDF">
        <w:rPr>
          <w:rFonts w:ascii="Times New Roman" w:hAnsi="Times New Roman" w:cs="Times New Roman"/>
          <w:sz w:val="20"/>
          <w:szCs w:val="20"/>
          <w:lang w:val="en-US"/>
        </w:rPr>
        <w:t>and consist in</w:t>
      </w:r>
      <w:r w:rsidR="003348FA">
        <w:rPr>
          <w:rFonts w:ascii="Times New Roman" w:hAnsi="Times New Roman" w:cs="Times New Roman"/>
          <w:sz w:val="20"/>
          <w:szCs w:val="20"/>
          <w:lang w:val="en-US"/>
        </w:rPr>
        <w:t xml:space="preserve"> ranks of short houses that were built from</w:t>
      </w:r>
      <w:r w:rsidR="004C4BDF" w:rsidRPr="004C4BDF">
        <w:rPr>
          <w:rFonts w:ascii="Times New Roman" w:hAnsi="Times New Roman" w:cs="Times New Roman"/>
          <w:sz w:val="20"/>
          <w:szCs w:val="20"/>
          <w:lang w:val="en-US"/>
        </w:rPr>
        <w:t xml:space="preserve"> the begin</w:t>
      </w:r>
      <w:r w:rsidR="001F5A6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4C4BDF" w:rsidRPr="004C4BDF">
        <w:rPr>
          <w:rFonts w:ascii="Times New Roman" w:hAnsi="Times New Roman" w:cs="Times New Roman"/>
          <w:sz w:val="20"/>
          <w:szCs w:val="20"/>
          <w:lang w:val="en-US"/>
        </w:rPr>
        <w:t>ing of the 19</w:t>
      </w:r>
      <w:r w:rsidR="004C4BDF" w:rsidRPr="004C4BD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4C4BDF" w:rsidRPr="004C4BDF">
        <w:rPr>
          <w:rFonts w:ascii="Times New Roman" w:hAnsi="Times New Roman" w:cs="Times New Roman"/>
          <w:sz w:val="20"/>
          <w:szCs w:val="20"/>
          <w:lang w:val="en-US"/>
        </w:rPr>
        <w:t xml:space="preserve"> century to lodge workmen</w:t>
      </w:r>
      <w:r w:rsidR="001F5A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BDF" w:rsidRPr="004C4BDF">
        <w:rPr>
          <w:rFonts w:ascii="Times New Roman" w:hAnsi="Times New Roman" w:cs="Times New Roman"/>
          <w:sz w:val="20"/>
          <w:szCs w:val="20"/>
          <w:lang w:val="en-US"/>
        </w:rPr>
        <w:t>that success</w:t>
      </w:r>
      <w:r w:rsidR="003348FA">
        <w:rPr>
          <w:rFonts w:ascii="Times New Roman" w:hAnsi="Times New Roman" w:cs="Times New Roman"/>
          <w:sz w:val="20"/>
          <w:szCs w:val="20"/>
          <w:lang w:val="en-US"/>
        </w:rPr>
        <w:t xml:space="preserve">ively </w:t>
      </w:r>
      <w:r w:rsidR="004C4BDF" w:rsidRPr="004C4BDF">
        <w:rPr>
          <w:rFonts w:ascii="Times New Roman" w:hAnsi="Times New Roman" w:cs="Times New Roman"/>
          <w:sz w:val="20"/>
          <w:szCs w:val="20"/>
          <w:lang w:val="en-US"/>
        </w:rPr>
        <w:t>arrived to the city.</w:t>
      </w:r>
      <w:r w:rsidR="001F5A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F5A6D" w:rsidRPr="008A5581">
        <w:rPr>
          <w:rFonts w:ascii="Times New Roman" w:hAnsi="Times New Roman" w:cs="Times New Roman"/>
          <w:sz w:val="20"/>
          <w:szCs w:val="20"/>
          <w:lang w:val="en-GB"/>
        </w:rPr>
        <w:t xml:space="preserve">These </w:t>
      </w:r>
      <w:r w:rsidR="004C4BDF" w:rsidRPr="008A5581">
        <w:rPr>
          <w:rFonts w:ascii="Times New Roman" w:hAnsi="Times New Roman" w:cs="Times New Roman"/>
          <w:sz w:val="20"/>
          <w:szCs w:val="20"/>
          <w:lang w:val="en-GB"/>
        </w:rPr>
        <w:t>are m</w:t>
      </w:r>
      <w:r w:rsidR="008A5581" w:rsidRPr="008A5581">
        <w:rPr>
          <w:rFonts w:ascii="Times New Roman" w:hAnsi="Times New Roman" w:cs="Times New Roman"/>
          <w:sz w:val="20"/>
          <w:szCs w:val="20"/>
          <w:lang w:val="en-GB"/>
        </w:rPr>
        <w:t>ainly privately owned or rented dwellings</w:t>
      </w:r>
      <w:r w:rsidR="003348FA">
        <w:rPr>
          <w:rFonts w:ascii="Times New Roman" w:hAnsi="Times New Roman" w:cs="Times New Roman"/>
          <w:sz w:val="20"/>
          <w:szCs w:val="20"/>
          <w:lang w:val="en-GB"/>
        </w:rPr>
        <w:t>, but some are owned by</w:t>
      </w:r>
      <w:r w:rsidR="006406E9">
        <w:rPr>
          <w:rFonts w:ascii="Times New Roman" w:hAnsi="Times New Roman" w:cs="Times New Roman"/>
          <w:sz w:val="20"/>
          <w:szCs w:val="20"/>
          <w:lang w:val="en-GB"/>
        </w:rPr>
        <w:t xml:space="preserve"> public or private organs</w:t>
      </w:r>
      <w:r w:rsidR="003348FA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</w:footnote>
  <w:footnote w:id="2">
    <w:p w:rsidR="00862EEB" w:rsidRPr="003172C5" w:rsidRDefault="00862EEB">
      <w:pPr>
        <w:pStyle w:val="FootnoteText"/>
      </w:pPr>
      <w:r>
        <w:rPr>
          <w:rStyle w:val="FootnoteReference"/>
        </w:rPr>
        <w:footnoteRef/>
      </w:r>
      <w:r w:rsidRPr="003172C5">
        <w:t xml:space="preserve"> </w:t>
      </w:r>
      <w:r w:rsidR="003F1CE9" w:rsidRPr="003172C5">
        <w:rPr>
          <w:rFonts w:ascii="Times New Roman" w:hAnsi="Times New Roman" w:cs="Times New Roman"/>
        </w:rPr>
        <w:t>T</w:t>
      </w:r>
      <w:r w:rsidRPr="003172C5">
        <w:rPr>
          <w:rFonts w:ascii="Times New Roman" w:hAnsi="Times New Roman" w:cs="Times New Roman"/>
        </w:rPr>
        <w:t xml:space="preserve">his financial </w:t>
      </w:r>
      <w:r w:rsidR="003F1CE9" w:rsidRPr="003172C5">
        <w:rPr>
          <w:rFonts w:ascii="Times New Roman" w:hAnsi="Times New Roman" w:cs="Times New Roman"/>
        </w:rPr>
        <w:t>too</w:t>
      </w:r>
      <w:r w:rsidRPr="003172C5">
        <w:rPr>
          <w:rFonts w:ascii="Times New Roman" w:hAnsi="Times New Roman" w:cs="Times New Roman"/>
        </w:rPr>
        <w:t>l</w:t>
      </w:r>
      <w:r w:rsidR="003F1CE9" w:rsidRPr="003172C5">
        <w:rPr>
          <w:rFonts w:ascii="Times New Roman" w:hAnsi="Times New Roman" w:cs="Times New Roman"/>
        </w:rPr>
        <w:t xml:space="preserve"> </w:t>
      </w:r>
      <w:r w:rsidRPr="003172C5">
        <w:rPr>
          <w:rFonts w:ascii="Times New Roman" w:hAnsi="Times New Roman" w:cs="Times New Roman"/>
        </w:rPr>
        <w:t>is called “</w:t>
      </w:r>
      <w:proofErr w:type="spellStart"/>
      <w:r w:rsidRPr="003172C5">
        <w:rPr>
          <w:rFonts w:ascii="Times New Roman" w:hAnsi="Times New Roman" w:cs="Times New Roman"/>
        </w:rPr>
        <w:t>Reabilitar</w:t>
      </w:r>
      <w:proofErr w:type="spellEnd"/>
      <w:r w:rsidRPr="003172C5">
        <w:rPr>
          <w:rFonts w:ascii="Times New Roman" w:hAnsi="Times New Roman" w:cs="Times New Roman"/>
        </w:rPr>
        <w:t xml:space="preserve"> para </w:t>
      </w:r>
      <w:proofErr w:type="spellStart"/>
      <w:r w:rsidRPr="003172C5">
        <w:rPr>
          <w:rFonts w:ascii="Times New Roman" w:hAnsi="Times New Roman" w:cs="Times New Roman"/>
        </w:rPr>
        <w:t>Arrendar</w:t>
      </w:r>
      <w:proofErr w:type="spellEnd"/>
      <w:r w:rsidRPr="003172C5">
        <w:rPr>
          <w:rFonts w:ascii="Times New Roman" w:hAnsi="Times New Roman" w:cs="Times New Roman"/>
        </w:rPr>
        <w:t xml:space="preserve"> – </w:t>
      </w:r>
      <w:proofErr w:type="spellStart"/>
      <w:r w:rsidRPr="003172C5">
        <w:rPr>
          <w:rFonts w:ascii="Times New Roman" w:hAnsi="Times New Roman" w:cs="Times New Roman"/>
        </w:rPr>
        <w:t>Habitação</w:t>
      </w:r>
      <w:proofErr w:type="spellEnd"/>
      <w:r w:rsidRPr="003172C5">
        <w:rPr>
          <w:rFonts w:ascii="Times New Roman" w:hAnsi="Times New Roman" w:cs="Times New Roman"/>
        </w:rPr>
        <w:t xml:space="preserve"> </w:t>
      </w:r>
      <w:proofErr w:type="spellStart"/>
      <w:r w:rsidRPr="003172C5">
        <w:rPr>
          <w:rFonts w:ascii="Times New Roman" w:hAnsi="Times New Roman" w:cs="Times New Roman"/>
        </w:rPr>
        <w:t>Acessível</w:t>
      </w:r>
      <w:proofErr w:type="spellEnd"/>
      <w:r w:rsidRPr="003172C5">
        <w:rPr>
          <w:rFonts w:ascii="Times New Roman" w:hAnsi="Times New Roman" w:cs="Times New Roman"/>
        </w:rPr>
        <w:t>”</w:t>
      </w:r>
      <w:r w:rsidR="003F1CE9" w:rsidRPr="003172C5">
        <w:rPr>
          <w:rFonts w:ascii="Times New Roman" w:hAnsi="Times New Roman" w:cs="Times New Roman"/>
        </w:rPr>
        <w:t xml:space="preserve"> </w:t>
      </w:r>
      <w:r w:rsidR="00A753D5" w:rsidRPr="003172C5">
        <w:rPr>
          <w:rFonts w:ascii="Times New Roman" w:hAnsi="Times New Roman" w:cs="Times New Roman"/>
        </w:rPr>
        <w:t>in Portuguese lan</w:t>
      </w:r>
      <w:r w:rsidR="003F1CE9" w:rsidRPr="003172C5">
        <w:rPr>
          <w:rFonts w:ascii="Times New Roman" w:hAnsi="Times New Roman" w:cs="Times New Roman"/>
        </w:rPr>
        <w:t>guage.</w:t>
      </w:r>
    </w:p>
  </w:footnote>
  <w:footnote w:id="3">
    <w:p w:rsidR="00B02469" w:rsidRPr="00B02469" w:rsidRDefault="00B02469">
      <w:pPr>
        <w:pStyle w:val="FootnoteText"/>
      </w:pPr>
      <w:r>
        <w:rPr>
          <w:rStyle w:val="FootnoteReference"/>
        </w:rPr>
        <w:footnoteRef/>
      </w:r>
      <w:r w:rsidRPr="00B02469">
        <w:t xml:space="preserve"> </w:t>
      </w:r>
      <w:r w:rsidRPr="00B02469">
        <w:rPr>
          <w:rFonts w:ascii="Times New Roman" w:hAnsi="Times New Roman" w:cs="Times New Roman"/>
        </w:rPr>
        <w:t xml:space="preserve">The average surface of </w:t>
      </w:r>
      <w:r w:rsidR="00782D20" w:rsidRPr="00B02469">
        <w:rPr>
          <w:rFonts w:ascii="Times New Roman" w:hAnsi="Times New Roman" w:cs="Times New Roman"/>
        </w:rPr>
        <w:t>an</w:t>
      </w:r>
      <w:r w:rsidRPr="00B02469">
        <w:rPr>
          <w:rFonts w:ascii="Times New Roman" w:hAnsi="Times New Roman" w:cs="Times New Roman"/>
        </w:rPr>
        <w:t xml:space="preserve"> “island” dwelling is currently around 35 square meters.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D00D6"/>
    <w:multiLevelType w:val="multilevel"/>
    <w:tmpl w:val="8C0A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9"/>
    <w:rsid w:val="00007073"/>
    <w:rsid w:val="00054884"/>
    <w:rsid w:val="00054ADD"/>
    <w:rsid w:val="00083E51"/>
    <w:rsid w:val="0009510D"/>
    <w:rsid w:val="000B250A"/>
    <w:rsid w:val="000E31EE"/>
    <w:rsid w:val="000F6E84"/>
    <w:rsid w:val="00103720"/>
    <w:rsid w:val="00144EBA"/>
    <w:rsid w:val="00161AFA"/>
    <w:rsid w:val="00187D07"/>
    <w:rsid w:val="001B0804"/>
    <w:rsid w:val="001E2C03"/>
    <w:rsid w:val="001F5A6D"/>
    <w:rsid w:val="002427CA"/>
    <w:rsid w:val="002616DD"/>
    <w:rsid w:val="00274EE2"/>
    <w:rsid w:val="00292CED"/>
    <w:rsid w:val="002A4345"/>
    <w:rsid w:val="002A6F72"/>
    <w:rsid w:val="002D49FF"/>
    <w:rsid w:val="002D6237"/>
    <w:rsid w:val="00303DD0"/>
    <w:rsid w:val="00315227"/>
    <w:rsid w:val="0031614B"/>
    <w:rsid w:val="003172C5"/>
    <w:rsid w:val="003324AE"/>
    <w:rsid w:val="003348FA"/>
    <w:rsid w:val="0035014B"/>
    <w:rsid w:val="003A6BC8"/>
    <w:rsid w:val="003F1CE9"/>
    <w:rsid w:val="004101CA"/>
    <w:rsid w:val="00444272"/>
    <w:rsid w:val="00483F66"/>
    <w:rsid w:val="004A0E49"/>
    <w:rsid w:val="004C4BDF"/>
    <w:rsid w:val="004F5A8C"/>
    <w:rsid w:val="00507CD9"/>
    <w:rsid w:val="00523FAD"/>
    <w:rsid w:val="00563B8A"/>
    <w:rsid w:val="00573C74"/>
    <w:rsid w:val="005762C4"/>
    <w:rsid w:val="005A5A6A"/>
    <w:rsid w:val="005F5D61"/>
    <w:rsid w:val="00610BC2"/>
    <w:rsid w:val="006406E9"/>
    <w:rsid w:val="00652CFC"/>
    <w:rsid w:val="006860EE"/>
    <w:rsid w:val="006B2867"/>
    <w:rsid w:val="006B642B"/>
    <w:rsid w:val="006E5B30"/>
    <w:rsid w:val="00703DA7"/>
    <w:rsid w:val="0071302E"/>
    <w:rsid w:val="0071679D"/>
    <w:rsid w:val="00721B7A"/>
    <w:rsid w:val="00754B05"/>
    <w:rsid w:val="007659DF"/>
    <w:rsid w:val="00782D20"/>
    <w:rsid w:val="007934A2"/>
    <w:rsid w:val="007A403E"/>
    <w:rsid w:val="007D74BC"/>
    <w:rsid w:val="00824895"/>
    <w:rsid w:val="00825F4B"/>
    <w:rsid w:val="008271AF"/>
    <w:rsid w:val="00862EEB"/>
    <w:rsid w:val="00875D7F"/>
    <w:rsid w:val="00885148"/>
    <w:rsid w:val="008A5581"/>
    <w:rsid w:val="008C1600"/>
    <w:rsid w:val="008C228D"/>
    <w:rsid w:val="008F1E08"/>
    <w:rsid w:val="008F5906"/>
    <w:rsid w:val="00911C10"/>
    <w:rsid w:val="00922548"/>
    <w:rsid w:val="00936F4D"/>
    <w:rsid w:val="009B22DC"/>
    <w:rsid w:val="009C2361"/>
    <w:rsid w:val="009E7860"/>
    <w:rsid w:val="00A32252"/>
    <w:rsid w:val="00A43AAE"/>
    <w:rsid w:val="00A753D5"/>
    <w:rsid w:val="00AA3777"/>
    <w:rsid w:val="00AC4AC5"/>
    <w:rsid w:val="00B004E9"/>
    <w:rsid w:val="00B02469"/>
    <w:rsid w:val="00B024C4"/>
    <w:rsid w:val="00B17EC1"/>
    <w:rsid w:val="00B2688D"/>
    <w:rsid w:val="00B36538"/>
    <w:rsid w:val="00B51B87"/>
    <w:rsid w:val="00B52507"/>
    <w:rsid w:val="00B53D60"/>
    <w:rsid w:val="00B61158"/>
    <w:rsid w:val="00B93F5F"/>
    <w:rsid w:val="00BD1A5F"/>
    <w:rsid w:val="00BE0EF0"/>
    <w:rsid w:val="00BE1513"/>
    <w:rsid w:val="00BF54F0"/>
    <w:rsid w:val="00C4294E"/>
    <w:rsid w:val="00C878E1"/>
    <w:rsid w:val="00CA573C"/>
    <w:rsid w:val="00CA65D1"/>
    <w:rsid w:val="00CB3C4A"/>
    <w:rsid w:val="00D1257D"/>
    <w:rsid w:val="00D330B3"/>
    <w:rsid w:val="00D36797"/>
    <w:rsid w:val="00D40D68"/>
    <w:rsid w:val="00D4346D"/>
    <w:rsid w:val="00D83E00"/>
    <w:rsid w:val="00D87C48"/>
    <w:rsid w:val="00DB3468"/>
    <w:rsid w:val="00E30F95"/>
    <w:rsid w:val="00E363A2"/>
    <w:rsid w:val="00E40150"/>
    <w:rsid w:val="00E44A81"/>
    <w:rsid w:val="00E72674"/>
    <w:rsid w:val="00E832F0"/>
    <w:rsid w:val="00E93A15"/>
    <w:rsid w:val="00EA22C6"/>
    <w:rsid w:val="00EF1CBC"/>
    <w:rsid w:val="00EF7488"/>
    <w:rsid w:val="00F01FA0"/>
    <w:rsid w:val="00F04488"/>
    <w:rsid w:val="00F05E6D"/>
    <w:rsid w:val="00F21DB7"/>
    <w:rsid w:val="00F31019"/>
    <w:rsid w:val="00F378A2"/>
    <w:rsid w:val="00F61F20"/>
    <w:rsid w:val="00FA5D2D"/>
    <w:rsid w:val="00FB480D"/>
    <w:rsid w:val="00FC7D49"/>
    <w:rsid w:val="00FD3178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219C-50B6-4F3F-A116-6E985390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62C4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2C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62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62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DefaultParagraphFont"/>
    <w:rsid w:val="00B93F5F"/>
  </w:style>
  <w:style w:type="character" w:styleId="Strong">
    <w:name w:val="Strong"/>
    <w:basedOn w:val="DefaultParagraphFont"/>
    <w:uiPriority w:val="22"/>
    <w:qFormat/>
    <w:rsid w:val="00B93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179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e.pt/application/file/56501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e.pt/application/file/25344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5A65-E03E-4124-8D9C-99DC3E9B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Malcata</dc:creator>
  <cp:keywords/>
  <dc:description/>
  <cp:lastModifiedBy>Emília Malcata</cp:lastModifiedBy>
  <cp:revision>2</cp:revision>
  <cp:lastPrinted>2015-10-13T12:24:00Z</cp:lastPrinted>
  <dcterms:created xsi:type="dcterms:W3CDTF">2015-10-13T12:27:00Z</dcterms:created>
  <dcterms:modified xsi:type="dcterms:W3CDTF">2015-10-13T12:27:00Z</dcterms:modified>
</cp:coreProperties>
</file>